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8C685" w14:textId="77777777" w:rsidR="00A324A4" w:rsidRPr="00002863" w:rsidRDefault="00002863" w:rsidP="00002863">
      <w:pPr>
        <w:spacing w:after="0"/>
        <w:rPr>
          <w:i/>
          <w:sz w:val="18"/>
          <w:szCs w:val="18"/>
        </w:rPr>
      </w:pPr>
      <w:r w:rsidRPr="00002863">
        <w:rPr>
          <w:i/>
          <w:sz w:val="18"/>
          <w:szCs w:val="18"/>
        </w:rPr>
        <w:t>MEC/SETEC</w:t>
      </w:r>
    </w:p>
    <w:p w14:paraId="4AC4BC60" w14:textId="77777777" w:rsidR="00002863" w:rsidRPr="00002863" w:rsidRDefault="00002863" w:rsidP="00002863">
      <w:pPr>
        <w:spacing w:after="0"/>
        <w:rPr>
          <w:i/>
          <w:sz w:val="18"/>
          <w:szCs w:val="18"/>
        </w:rPr>
      </w:pPr>
      <w:r w:rsidRPr="00002863">
        <w:rPr>
          <w:i/>
          <w:sz w:val="18"/>
          <w:szCs w:val="18"/>
        </w:rPr>
        <w:t>INSTITUTO FEDERAL DE EDUCAÇÃO, CIÊNCIA E TECNOLOGIA SUL- RIO- GRANDENSE</w:t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7854"/>
        <w:gridCol w:w="7854"/>
      </w:tblGrid>
      <w:tr w:rsidR="00002863" w:rsidRPr="00002863" w14:paraId="356F6F35" w14:textId="77777777" w:rsidTr="00002863">
        <w:tc>
          <w:tcPr>
            <w:tcW w:w="158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87B8377" w14:textId="77777777" w:rsidR="00002863" w:rsidRPr="00002863" w:rsidRDefault="00002863" w:rsidP="00002863">
            <w:pPr>
              <w:jc w:val="center"/>
              <w:rPr>
                <w:b/>
                <w:sz w:val="24"/>
                <w:szCs w:val="24"/>
              </w:rPr>
            </w:pPr>
            <w:r w:rsidRPr="00002863">
              <w:rPr>
                <w:b/>
                <w:sz w:val="24"/>
                <w:szCs w:val="24"/>
              </w:rPr>
              <w:t>MATRIZ DE EQUIVALÊNCIA / SUBSTITUIÇÃO</w:t>
            </w:r>
          </w:p>
        </w:tc>
      </w:tr>
      <w:tr w:rsidR="00002863" w14:paraId="0F5CF0FC" w14:textId="77777777" w:rsidTr="00002863">
        <w:tc>
          <w:tcPr>
            <w:tcW w:w="1587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F0A0B37" w14:textId="1BBD469A" w:rsidR="00002863" w:rsidRPr="00002863" w:rsidRDefault="00002863" w:rsidP="00002863">
            <w:pPr>
              <w:jc w:val="center"/>
              <w:rPr>
                <w:b/>
              </w:rPr>
            </w:pPr>
            <w:r w:rsidRPr="00002863">
              <w:rPr>
                <w:b/>
              </w:rPr>
              <w:t xml:space="preserve">CAMPUS </w:t>
            </w:r>
            <w:r w:rsidR="005D1F44">
              <w:rPr>
                <w:b/>
              </w:rPr>
              <w:t>PELOTAS</w:t>
            </w:r>
          </w:p>
        </w:tc>
      </w:tr>
      <w:tr w:rsidR="00002863" w14:paraId="025E874F" w14:textId="77777777" w:rsidTr="00002863">
        <w:tc>
          <w:tcPr>
            <w:tcW w:w="7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5A944" w14:textId="40EA9696" w:rsidR="00002863" w:rsidRPr="00002863" w:rsidRDefault="002A739F" w:rsidP="0000286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Curso Técnico em Eletromecânica – Modalidade</w:t>
            </w:r>
            <w:r w:rsidR="00C447AD">
              <w:rPr>
                <w:color w:val="FF0000"/>
              </w:rPr>
              <w:t>s</w:t>
            </w:r>
            <w:r>
              <w:rPr>
                <w:color w:val="FF0000"/>
              </w:rPr>
              <w:t xml:space="preserve"> Subsequente</w:t>
            </w:r>
            <w:r w:rsidR="00C447AD">
              <w:rPr>
                <w:color w:val="FF0000"/>
              </w:rPr>
              <w:t xml:space="preserve"> e Concomitante</w:t>
            </w:r>
          </w:p>
        </w:tc>
        <w:tc>
          <w:tcPr>
            <w:tcW w:w="7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B9EF9" w14:textId="3024695C" w:rsidR="00002863" w:rsidRPr="00002863" w:rsidRDefault="00EA480D" w:rsidP="0000286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Curso Técnico em Eletromecânica – Modalidade Subsequente</w:t>
            </w:r>
            <w:r w:rsidR="00C447AD">
              <w:rPr>
                <w:color w:val="FF0000"/>
              </w:rPr>
              <w:t xml:space="preserve"> e Concomitante</w:t>
            </w:r>
          </w:p>
        </w:tc>
      </w:tr>
    </w:tbl>
    <w:tbl>
      <w:tblPr>
        <w:tblW w:w="1594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556"/>
        <w:gridCol w:w="847"/>
        <w:gridCol w:w="438"/>
        <w:gridCol w:w="1197"/>
        <w:gridCol w:w="400"/>
        <w:gridCol w:w="783"/>
        <w:gridCol w:w="1470"/>
        <w:gridCol w:w="4717"/>
      </w:tblGrid>
      <w:tr w:rsidR="00002863" w:rsidRPr="00002863" w14:paraId="532434D6" w14:textId="77777777" w:rsidTr="00EA480D">
        <w:trPr>
          <w:trHeight w:val="332"/>
        </w:trPr>
        <w:tc>
          <w:tcPr>
            <w:tcW w:w="737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8CEC0BC" w14:textId="77777777" w:rsidR="003052E1" w:rsidRDefault="00002863" w:rsidP="003052E1">
            <w:pPr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i/>
                <w:iCs/>
                <w:lang w:eastAsia="pt-BR"/>
              </w:rPr>
              <w:t xml:space="preserve">MATRIZ </w:t>
            </w:r>
            <w:r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  <w:t xml:space="preserve">           </w:t>
            </w:r>
          </w:p>
          <w:p w14:paraId="3F1935BF" w14:textId="423A7CB3" w:rsidR="003052E1" w:rsidRDefault="000E721C" w:rsidP="003052E1">
            <w:pPr>
              <w:jc w:val="center"/>
            </w:pPr>
            <w:hyperlink r:id="rId4" w:history="1">
              <w:r w:rsidR="003052E1">
                <w:rPr>
                  <w:rStyle w:val="Hyperlink"/>
                  <w:rFonts w:ascii="Arial" w:hAnsi="Arial" w:cs="Arial"/>
                  <w:color w:val="292929"/>
                  <w:sz w:val="20"/>
                  <w:szCs w:val="20"/>
                </w:rPr>
                <w:t>49 - Eletromecânica - Subsequente Pelotas (2019/1)</w:t>
              </w:r>
            </w:hyperlink>
            <w:r w:rsidR="003052E1">
              <w:t xml:space="preserve"> (SUAP)</w:t>
            </w:r>
          </w:p>
          <w:p w14:paraId="7F7994CC" w14:textId="085BA6C3" w:rsidR="00002863" w:rsidRPr="003052E1" w:rsidRDefault="000E721C" w:rsidP="003052E1">
            <w:pPr>
              <w:jc w:val="center"/>
            </w:pPr>
            <w:hyperlink r:id="rId5" w:history="1">
              <w:r w:rsidR="003052E1">
                <w:rPr>
                  <w:rStyle w:val="Hyperlink"/>
                  <w:rFonts w:ascii="Arial" w:hAnsi="Arial" w:cs="Arial"/>
                  <w:color w:val="292929"/>
                  <w:sz w:val="20"/>
                  <w:szCs w:val="20"/>
                </w:rPr>
                <w:t>59 - Eletromecânica - Concomitante Pelotas (2009/1)</w:t>
              </w:r>
            </w:hyperlink>
            <w:r w:rsidR="003052E1">
              <w:t xml:space="preserve"> (SUAP)</w:t>
            </w:r>
          </w:p>
        </w:tc>
        <w:tc>
          <w:tcPr>
            <w:tcW w:w="119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764E51AA" w14:textId="7777777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SENTIDO                          DA SUBSTITUIÇÃO</w:t>
            </w:r>
          </w:p>
        </w:tc>
        <w:tc>
          <w:tcPr>
            <w:tcW w:w="737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59FEBC2" w14:textId="594FA486" w:rsidR="00002863" w:rsidRPr="00002863" w:rsidRDefault="005D1F44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i/>
                <w:iCs/>
                <w:lang w:eastAsia="pt-BR"/>
              </w:rPr>
              <w:t>APNPs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lang w:eastAsia="pt-BR"/>
              </w:rPr>
              <w:t xml:space="preserve"> OFERTADAS</w:t>
            </w:r>
          </w:p>
        </w:tc>
      </w:tr>
      <w:tr w:rsidR="00B44507" w:rsidRPr="00002863" w14:paraId="118BB33E" w14:textId="77777777" w:rsidTr="00EA480D">
        <w:trPr>
          <w:trHeight w:val="649"/>
        </w:trPr>
        <w:tc>
          <w:tcPr>
            <w:tcW w:w="453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0BDAE6" w14:textId="0E58B33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 DO COMPONENTE</w:t>
            </w:r>
          </w:p>
        </w:tc>
        <w:tc>
          <w:tcPr>
            <w:tcW w:w="15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D96545" w14:textId="7777777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0EFF5A" w14:textId="7777777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PERÍODO LETIVO</w:t>
            </w:r>
          </w:p>
        </w:tc>
        <w:tc>
          <w:tcPr>
            <w:tcW w:w="4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01670022" w14:textId="7777777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CH</w:t>
            </w:r>
          </w:p>
        </w:tc>
        <w:tc>
          <w:tcPr>
            <w:tcW w:w="119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7CC30F" w14:textId="77777777" w:rsidR="00002863" w:rsidRPr="00002863" w:rsidRDefault="00002863" w:rsidP="00002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5404D2" w14:textId="7777777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CH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A49C096" w14:textId="77777777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PERÍODO LETIVO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6DFB3B" w14:textId="53260A40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  <w:r w:rsidR="005D1F4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DA APNP</w:t>
            </w:r>
          </w:p>
        </w:tc>
        <w:tc>
          <w:tcPr>
            <w:tcW w:w="47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784BDDDF" w14:textId="5AF73123"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NOME </w:t>
            </w:r>
            <w:r w:rsidR="005D1F4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DA APNP</w:t>
            </w:r>
          </w:p>
        </w:tc>
      </w:tr>
      <w:tr w:rsidR="00B44507" w:rsidRPr="00002863" w14:paraId="46C47E44" w14:textId="77777777" w:rsidTr="00EA480D">
        <w:trPr>
          <w:trHeight w:val="317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68157C" w14:textId="2EFEA5B4" w:rsidR="00002863" w:rsidRPr="00002863" w:rsidRDefault="002A739F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Elementos de Máquina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F0D0639" w14:textId="1C546D88" w:rsidR="00002863" w:rsidRPr="00002863" w:rsidRDefault="002A739F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B22B1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1B479D2" w14:textId="4F447F56" w:rsidR="00002863" w:rsidRPr="00002863" w:rsidRDefault="002A739F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23B24136" w14:textId="1B98AA1A" w:rsidR="00002863" w:rsidRPr="00002863" w:rsidRDefault="00EA480D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087C78E1" w14:textId="4AC25587" w:rsidR="00002863" w:rsidRPr="00002863" w:rsidRDefault="00EA480D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A36156C" w14:textId="73D4640A" w:rsidR="00002863" w:rsidRPr="00002863" w:rsidRDefault="00EA480D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E0A739" w14:textId="21754530" w:rsidR="00002863" w:rsidRPr="00002863" w:rsidRDefault="00EA480D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7C317E" w14:textId="3A1C2314" w:rsidR="00002863" w:rsidRPr="00002863" w:rsidRDefault="00EA480D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TEC.4003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378364F3" w14:textId="4E51CEBD" w:rsidR="00002863" w:rsidRPr="00002863" w:rsidRDefault="00EA480D" w:rsidP="00B445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 – Elementos de Máquina</w:t>
            </w:r>
          </w:p>
        </w:tc>
      </w:tr>
      <w:tr w:rsidR="00EA480D" w:rsidRPr="00002863" w14:paraId="2F54EF0E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2CE0A6" w14:textId="57157116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Materiais de Construção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3B33A5E" w14:textId="59CE0C2E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B2261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D2D795" w14:textId="7B00616B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6CA521C7" w14:textId="7AE43ACA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160DC768" w14:textId="27991FBE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9A79ADA" w14:textId="5A770AA3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DEC6E45" w14:textId="2F7F78BE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24F1513" w14:textId="57FFA19A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TEC.4004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7EE842BB" w14:textId="396F5754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 – Materiais de Construção</w:t>
            </w:r>
          </w:p>
        </w:tc>
      </w:tr>
      <w:tr w:rsidR="00EA480D" w:rsidRPr="00002863" w14:paraId="2CB7C46B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63ADF2" w14:textId="2D815F6F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Organização da Manutenção 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3151027" w14:textId="4B20EABB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B2A11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A198FF1" w14:textId="63EAC597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71B40057" w14:textId="40AB25EB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217E0A1C" w14:textId="00DA9013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B569B6D" w14:textId="5BD5EB5D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959AD6" w14:textId="38B32D0C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A61CF7F" w14:textId="0FF5CBF7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TEC.4005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562071D" w14:textId="3627F9AE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 - Organização da Manutenção I</w:t>
            </w:r>
          </w:p>
        </w:tc>
      </w:tr>
      <w:tr w:rsidR="00EA480D" w:rsidRPr="00002863" w14:paraId="129CC5CB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F71164" w14:textId="31AD04D6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Organização da Manutenção II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62FEF9" w14:textId="5A16F205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B2A12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DC618A" w14:textId="1CEB76CB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A969EC2" w14:textId="1038F848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5F555815" w14:textId="74998DE9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211523" w14:textId="41E626D8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834D50D" w14:textId="356D0868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DDE3ECB" w14:textId="2ED7CC87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TEC.4008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21BE13D" w14:textId="650AFCBB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 - Organização da Manutenção II</w:t>
            </w:r>
          </w:p>
        </w:tc>
      </w:tr>
      <w:tr w:rsidR="00EA480D" w:rsidRPr="00002863" w14:paraId="66939D67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35CAE0D" w14:textId="12534873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Equipamentos Hidráulicos e Pneumáticos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58DF021" w14:textId="4C5DEFE2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B22Z2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141FFCD" w14:textId="623F9AED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7BFF1ED4" w14:textId="5169A384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054EB689" w14:textId="2BE7112F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7BD61A3" w14:textId="0FAEF746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578912" w14:textId="2194AE34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327617" w14:textId="2A4BAB62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TEC.4006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4EE9489D" w14:textId="17405250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 – Equipamentos Hidráulicos e Pneumáticos</w:t>
            </w:r>
          </w:p>
        </w:tc>
      </w:tr>
      <w:tr w:rsidR="00EA480D" w:rsidRPr="00002863" w14:paraId="1C6E954E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80A679D" w14:textId="2F731B85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Transformadores 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35BACA" w14:textId="18ECAE66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B22C2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4BBF88" w14:textId="00CACB2D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EFFB0AD" w14:textId="1E027F48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1229C8D3" w14:textId="1E323650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809F04F" w14:textId="0FBA8B2C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55069A" w14:textId="31AE7156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EB1E1C" w14:textId="0DB0DC67" w:rsidR="00EA480D" w:rsidRPr="00002863" w:rsidRDefault="00EA480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TEC.400</w:t>
            </w:r>
            <w:r w:rsidR="00C447AD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2EEEDBAF" w14:textId="14F5C435" w:rsidR="00EA480D" w:rsidRPr="00002863" w:rsidRDefault="00C447AD" w:rsidP="00EA4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 – Transformadores I</w:t>
            </w:r>
          </w:p>
        </w:tc>
      </w:tr>
      <w:tr w:rsidR="00C447AD" w:rsidRPr="00002863" w14:paraId="7304AE3C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96284CF" w14:textId="09BE2C2F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Eletrotécnica Geral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38DF13C" w14:textId="4C33E524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B22A2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76C642F" w14:textId="27563EBA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444C53AA" w14:textId="32B12C4E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3F326C83" w14:textId="51FD71CB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C79A992" w14:textId="03036133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26B008F" w14:textId="33B49CF2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014278" w14:textId="4F808543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TEC.4011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215FCB3D" w14:textId="01A33150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 – Dependência em Eletrotécnica Geral</w:t>
            </w:r>
          </w:p>
        </w:tc>
      </w:tr>
      <w:tr w:rsidR="00C447AD" w:rsidRPr="00002863" w14:paraId="2ED5376D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59D3427" w14:textId="14729C99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Máquinas Elétricas II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AE6757D" w14:textId="76D8DFF8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B22G3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6361488" w14:textId="534DF7C9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63BE49E5" w14:textId="7127CB15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1625C1A4" w14:textId="1EA6E881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827630" w14:textId="04326AB8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FCDF76" w14:textId="1D34BDC2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4158B68" w14:textId="43BEC71C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TEC.4010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3991F0F2" w14:textId="37907FCF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 – Máquinas Elétricas II</w:t>
            </w:r>
          </w:p>
        </w:tc>
      </w:tr>
      <w:tr w:rsidR="00C447AD" w:rsidRPr="00002863" w14:paraId="043696C2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4BC1D53" w14:textId="48E6B8CA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Instrumentação e Controle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FBDD2FD" w14:textId="7620FF49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B22N3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542BF2" w14:textId="14A267BA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2826BC75" w14:textId="35720A2F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71188A4D" w14:textId="72FD8F14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57E95D8" w14:textId="0466E296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4772A1" w14:textId="7A0F52C1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0591A8" w14:textId="3909F89B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TEC.4009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14B1CDF3" w14:textId="4A806D93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 – Instrumentação e Controle</w:t>
            </w:r>
          </w:p>
        </w:tc>
      </w:tr>
      <w:tr w:rsidR="00C447AD" w:rsidRPr="00002863" w14:paraId="61B85325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D423BC9" w14:textId="35E1F2C6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Prática de Manutenção II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0FC6769" w14:textId="4FBCDE42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B22L4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E17F55E" w14:textId="07819AA5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82D0943" w14:textId="121657A1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52C941AE" w14:textId="7E2C6AFD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DE99119" w14:textId="09117243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4701A3D" w14:textId="7D591BAC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BAB6BCD" w14:textId="3BE10BD2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TEC.4013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2A5388EA" w14:textId="213C63C1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 – Prática de Manutenção II</w:t>
            </w:r>
          </w:p>
        </w:tc>
      </w:tr>
      <w:tr w:rsidR="00C447AD" w:rsidRPr="00002863" w14:paraId="1F9651CA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75A9FFC" w14:textId="3F9A5CBA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Comando Numérico Computadorizado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AB875D0" w14:textId="676ADB59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B22X4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18CA2BA" w14:textId="46D6FC28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4B4B7E34" w14:textId="40945B61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2A35796B" w14:textId="168271B5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07FC042" w14:textId="2550DB96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FFF7B45" w14:textId="2A04D120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728D0FF" w14:textId="2E4C5403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TEC.4012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63E692B0" w14:textId="19DDC9C0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 – Comando Numérico Computadorizado</w:t>
            </w:r>
          </w:p>
        </w:tc>
      </w:tr>
      <w:tr w:rsidR="00C447AD" w:rsidRPr="00002863" w14:paraId="2CAA26D3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4CC82C7" w14:textId="1A0B6799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Controladores Lógicos Programáveis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4C208AD" w14:textId="23E3E5DB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MEM.002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2D39C67" w14:textId="65F1B6B6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3B24072A" w14:textId="04FB4959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7033B7E3" w14:textId="37399E05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↔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B22734F" w14:textId="386FF29E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3AE4A48" w14:textId="39BB7835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2020/1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06488EC" w14:textId="7F6CEEFB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TEC.4014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7BE57443" w14:textId="43905725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APNP – Controladores Lógicos Programáveis</w:t>
            </w:r>
          </w:p>
        </w:tc>
      </w:tr>
      <w:tr w:rsidR="00C447AD" w:rsidRPr="00002863" w14:paraId="7916239E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6A0497E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E301C46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6B9776E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0427942D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7D6C3452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2033E9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D7450E0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4F9C68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330255C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447AD" w:rsidRPr="00002863" w14:paraId="2A58C312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1616580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7FB823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EC81258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0C74AF16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736D8EDE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D0EDD79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534A7D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C5D8DF3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5C1B9CBC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447AD" w:rsidRPr="00002863" w14:paraId="01C096AA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057EE3B7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6FF291B5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7CCCFBA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1749FFE5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14:paraId="0CEAA832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21433BE4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2B5D565F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6C74B5C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16A2E1E4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447AD" w:rsidRPr="00002863" w14:paraId="4DD0221D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4609906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18DB6DE6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513DE8E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564DCACC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14:paraId="0169CC74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2D53789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8C061DA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6776E0C1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56992FEB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447AD" w:rsidRPr="00002863" w14:paraId="7239EDCB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4B980E9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1B934456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BB15AF9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5DFC0A73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14:paraId="2929D1B1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45E4D11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0BF4FE0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668483F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19A88D1A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447AD" w:rsidRPr="00002863" w14:paraId="18176A76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3646C4C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2E9B7AA6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1DBD0062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76C46D6A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14:paraId="68A67617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50D307D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60A06F8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9BA56F2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7CA66FAE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447AD" w:rsidRPr="00002863" w14:paraId="6059E702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55BFB45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4C36E11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18626083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111D4F5E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14:paraId="2C7A9175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52AF3D7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0BD9841B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2ADC32C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14:paraId="4F252DC6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447AD" w:rsidRPr="00002863" w14:paraId="71AD6B9A" w14:textId="77777777" w:rsidTr="00EA480D">
        <w:trPr>
          <w:trHeight w:val="302"/>
        </w:trPr>
        <w:tc>
          <w:tcPr>
            <w:tcW w:w="453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4002F02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186686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121F3D4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7E93DAFD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094506FD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829BAC1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3EE4359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69A80E0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004EFF86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447AD" w:rsidRPr="00002863" w14:paraId="784525C5" w14:textId="77777777" w:rsidTr="00EA480D">
        <w:trPr>
          <w:trHeight w:val="317"/>
        </w:trPr>
        <w:tc>
          <w:tcPr>
            <w:tcW w:w="453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05EE6E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F98C102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2315BC4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4A9A59BA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14:paraId="1E710126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045DAB4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2E42BAB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66C17C3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14:paraId="3BD8691C" w14:textId="77777777" w:rsidR="00C447AD" w:rsidRPr="00002863" w:rsidRDefault="00C447AD" w:rsidP="00C447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14:paraId="2D2307B3" w14:textId="77777777" w:rsidR="003052E1" w:rsidRDefault="003052E1" w:rsidP="00002863">
      <w:pPr>
        <w:spacing w:after="0"/>
        <w:rPr>
          <w:b/>
          <w:color w:val="0070C0"/>
          <w:sz w:val="28"/>
          <w:szCs w:val="28"/>
          <w:u w:val="single"/>
        </w:rPr>
      </w:pPr>
    </w:p>
    <w:p w14:paraId="0FC6E52A" w14:textId="0EC4C0BF" w:rsidR="00002863" w:rsidRPr="00002863" w:rsidRDefault="00002863" w:rsidP="00002863">
      <w:pPr>
        <w:spacing w:after="0"/>
        <w:rPr>
          <w:b/>
          <w:color w:val="0070C0"/>
          <w:sz w:val="28"/>
          <w:szCs w:val="28"/>
          <w:u w:val="single"/>
        </w:rPr>
      </w:pPr>
      <w:r w:rsidRPr="00002863">
        <w:rPr>
          <w:b/>
          <w:color w:val="0070C0"/>
          <w:sz w:val="28"/>
          <w:szCs w:val="28"/>
          <w:u w:val="single"/>
        </w:rPr>
        <w:lastRenderedPageBreak/>
        <w:t>ORIENTAÇÕES PARA PREENCHIMENTO DA MATRIZ</w:t>
      </w:r>
    </w:p>
    <w:p w14:paraId="5C5233A1" w14:textId="77777777" w:rsidR="00002863" w:rsidRPr="00002863" w:rsidRDefault="00002863" w:rsidP="00002863">
      <w:pPr>
        <w:spacing w:after="0"/>
        <w:rPr>
          <w:b/>
          <w:color w:val="FF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88"/>
        <w:gridCol w:w="1684"/>
        <w:gridCol w:w="7022"/>
      </w:tblGrid>
      <w:tr w:rsidR="00002863" w:rsidRPr="00002863" w14:paraId="5ECDAA5E" w14:textId="77777777" w:rsidTr="00002863">
        <w:trPr>
          <w:trHeight w:val="228"/>
        </w:trPr>
        <w:tc>
          <w:tcPr>
            <w:tcW w:w="7054" w:type="dxa"/>
          </w:tcPr>
          <w:p w14:paraId="58938A3E" w14:textId="77777777"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>) substituir 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 xml:space="preserve"> igual ou maior)</w:t>
            </w:r>
          </w:p>
        </w:tc>
        <w:tc>
          <w:tcPr>
            <w:tcW w:w="1701" w:type="dxa"/>
          </w:tcPr>
          <w:p w14:paraId="2F2B55CD" w14:textId="77777777" w:rsidR="00002863" w:rsidRPr="00002863" w:rsidRDefault="00002863">
            <w:pPr>
              <w:rPr>
                <w:b/>
                <w:color w:val="FF0000"/>
                <w:sz w:val="16"/>
                <w:szCs w:val="16"/>
              </w:rPr>
            </w:pPr>
            <w:r w:rsidRPr="00002863">
              <w:rPr>
                <w:b/>
                <w:noProof/>
                <w:color w:val="FF0000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1B9BB7" wp14:editId="47318296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58420</wp:posOffset>
                      </wp:positionV>
                      <wp:extent cx="359410" cy="0"/>
                      <wp:effectExtent l="0" t="76200" r="21590" b="114300"/>
                      <wp:wrapNone/>
                      <wp:docPr id="9" name="Conector de seta ret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E4578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9" o:spid="_x0000_s1026" type="#_x0000_t32" style="position:absolute;margin-left:23.35pt;margin-top:4.6pt;width:28.3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" strokecolor="black [3213]" strokeweight="1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089" w:type="dxa"/>
          </w:tcPr>
          <w:p w14:paraId="2C8754D1" w14:textId="77777777"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>) ser substituído(s) 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 xml:space="preserve"> igual ou menor)</w:t>
            </w:r>
          </w:p>
        </w:tc>
      </w:tr>
      <w:tr w:rsidR="00002863" w:rsidRPr="00002863" w14:paraId="253C1726" w14:textId="77777777" w:rsidTr="00002863">
        <w:trPr>
          <w:trHeight w:val="273"/>
        </w:trPr>
        <w:tc>
          <w:tcPr>
            <w:tcW w:w="7054" w:type="dxa"/>
          </w:tcPr>
          <w:p w14:paraId="130DCD31" w14:textId="77777777"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>) ser substituído(s) 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 xml:space="preserve"> igual ou menor)</w:t>
            </w:r>
          </w:p>
        </w:tc>
        <w:tc>
          <w:tcPr>
            <w:tcW w:w="1701" w:type="dxa"/>
          </w:tcPr>
          <w:p w14:paraId="138579A4" w14:textId="77777777" w:rsidR="00002863" w:rsidRPr="00002863" w:rsidRDefault="00002863">
            <w:pPr>
              <w:rPr>
                <w:b/>
                <w:color w:val="FF0000"/>
                <w:sz w:val="16"/>
                <w:szCs w:val="16"/>
              </w:rPr>
            </w:pPr>
            <w:r w:rsidRPr="00002863">
              <w:rPr>
                <w:b/>
                <w:noProof/>
                <w:color w:val="FF0000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6B9CCB" wp14:editId="286AEB9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99695</wp:posOffset>
                      </wp:positionV>
                      <wp:extent cx="359410" cy="0"/>
                      <wp:effectExtent l="38100" t="76200" r="0" b="114300"/>
                      <wp:wrapNone/>
                      <wp:docPr id="11" name="Conector de seta ret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6D8E14" id="Conector de seta reta 11" o:spid="_x0000_s1026" type="#_x0000_t32" style="position:absolute;margin-left:21.1pt;margin-top:7.85pt;width:28.3pt;height:0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" strokecolor="black [3213]" strokeweight="1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089" w:type="dxa"/>
          </w:tcPr>
          <w:p w14:paraId="02983BD5" w14:textId="77777777"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Componente(s) que irá(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ão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>) substituir (</w:t>
            </w:r>
            <w:proofErr w:type="spellStart"/>
            <w:r w:rsidRPr="00002863">
              <w:rPr>
                <w:b/>
                <w:color w:val="FF0000"/>
                <w:sz w:val="18"/>
                <w:szCs w:val="18"/>
              </w:rPr>
              <w:t>Ch</w:t>
            </w:r>
            <w:proofErr w:type="spellEnd"/>
            <w:r w:rsidRPr="00002863">
              <w:rPr>
                <w:b/>
                <w:color w:val="FF0000"/>
                <w:sz w:val="18"/>
                <w:szCs w:val="18"/>
              </w:rPr>
              <w:t xml:space="preserve"> igual ou maior)</w:t>
            </w:r>
          </w:p>
        </w:tc>
      </w:tr>
      <w:tr w:rsidR="00002863" w:rsidRPr="00002863" w14:paraId="552809C1" w14:textId="77777777" w:rsidTr="00002863">
        <w:trPr>
          <w:trHeight w:val="278"/>
        </w:trPr>
        <w:tc>
          <w:tcPr>
            <w:tcW w:w="7054" w:type="dxa"/>
          </w:tcPr>
          <w:p w14:paraId="0D50CC33" w14:textId="77777777"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Componentes de Carga Horária Igual, que se equivalem</w:t>
            </w:r>
          </w:p>
        </w:tc>
        <w:tc>
          <w:tcPr>
            <w:tcW w:w="1701" w:type="dxa"/>
          </w:tcPr>
          <w:p w14:paraId="6FB67E44" w14:textId="77777777" w:rsidR="00002863" w:rsidRPr="00002863" w:rsidRDefault="00002863">
            <w:pPr>
              <w:rPr>
                <w:b/>
                <w:color w:val="FF0000"/>
                <w:sz w:val="16"/>
                <w:szCs w:val="16"/>
              </w:rPr>
            </w:pPr>
            <w:r w:rsidRPr="00002863">
              <w:rPr>
                <w:b/>
                <w:noProof/>
                <w:color w:val="FF0000"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DCE383" wp14:editId="3D10E265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102235</wp:posOffset>
                      </wp:positionV>
                      <wp:extent cx="359410" cy="0"/>
                      <wp:effectExtent l="38100" t="76200" r="21590" b="114300"/>
                      <wp:wrapNone/>
                      <wp:docPr id="12" name="Conector de seta ret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5F99C3" id="Conector de seta reta 12" o:spid="_x0000_s1026" type="#_x0000_t32" style="position:absolute;margin-left:21.85pt;margin-top:8.05pt;width:28.3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7089" w:type="dxa"/>
          </w:tcPr>
          <w:p w14:paraId="4716EA51" w14:textId="77777777" w:rsidR="00002863" w:rsidRPr="00002863" w:rsidRDefault="00002863" w:rsidP="0000286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02863">
              <w:rPr>
                <w:b/>
                <w:color w:val="FF0000"/>
                <w:sz w:val="18"/>
                <w:szCs w:val="18"/>
              </w:rPr>
              <w:t>Componentes de Carga Horária Igual, que se equivalem</w:t>
            </w:r>
          </w:p>
        </w:tc>
      </w:tr>
    </w:tbl>
    <w:p w14:paraId="7C0B1344" w14:textId="77777777" w:rsidR="00002863" w:rsidRPr="00002863" w:rsidRDefault="00002863">
      <w:pPr>
        <w:rPr>
          <w:b/>
          <w:color w:val="FF0000"/>
          <w:sz w:val="16"/>
          <w:szCs w:val="16"/>
        </w:rPr>
      </w:pPr>
    </w:p>
    <w:p w14:paraId="4FEF15F5" w14:textId="77777777" w:rsidR="00002863" w:rsidRPr="00002863" w:rsidRDefault="00002863" w:rsidP="00002863">
      <w:pPr>
        <w:rPr>
          <w:b/>
          <w:color w:val="FF0000"/>
        </w:rPr>
      </w:pPr>
      <w:r w:rsidRPr="00002863">
        <w:rPr>
          <w:b/>
          <w:color w:val="FF0000"/>
        </w:rPr>
        <w:t># É necessário que o componente curricular que irá substituir, tenha carga horária IGUAL ou MAIOR ao componente que será substituído.</w:t>
      </w:r>
    </w:p>
    <w:p w14:paraId="222A3465" w14:textId="77777777" w:rsidR="00002863" w:rsidRPr="00002863" w:rsidRDefault="00002863" w:rsidP="00002863">
      <w:pPr>
        <w:rPr>
          <w:b/>
          <w:color w:val="FF0000"/>
        </w:rPr>
      </w:pPr>
      <w:r w:rsidRPr="00002863">
        <w:rPr>
          <w:b/>
          <w:color w:val="FF0000"/>
        </w:rPr>
        <w:t># Um componente pode substituir dois ou mais componentes desde que sua carga horária seja IGUAL ou MAIOR a soma das cargas horárias a serem substituídas.</w:t>
      </w:r>
    </w:p>
    <w:p w14:paraId="4828B8BE" w14:textId="77777777" w:rsidR="00002863" w:rsidRPr="00002863" w:rsidRDefault="00002863" w:rsidP="00002863">
      <w:pPr>
        <w:rPr>
          <w:b/>
          <w:color w:val="FF0000"/>
        </w:rPr>
      </w:pPr>
      <w:r w:rsidRPr="00002863">
        <w:rPr>
          <w:b/>
          <w:color w:val="FF0000"/>
        </w:rPr>
        <w:t># Dois ou mais componentes podem substituir um componente, desde que a soma de suas cargas horárias seja IGUAL ou MAI</w:t>
      </w:r>
      <w:r>
        <w:rPr>
          <w:b/>
          <w:color w:val="FF0000"/>
        </w:rPr>
        <w:t>OR que a do componente substituí</w:t>
      </w:r>
      <w:r w:rsidRPr="00002863">
        <w:rPr>
          <w:b/>
          <w:color w:val="FF0000"/>
        </w:rPr>
        <w:t>do.</w:t>
      </w:r>
    </w:p>
    <w:p w14:paraId="5D4437C0" w14:textId="77777777" w:rsidR="00002863" w:rsidRPr="00002863" w:rsidRDefault="00002863" w:rsidP="00002863">
      <w:pPr>
        <w:rPr>
          <w:b/>
          <w:color w:val="FF0000"/>
        </w:rPr>
      </w:pPr>
      <w:r w:rsidRPr="00002863">
        <w:rPr>
          <w:b/>
          <w:color w:val="FF0000"/>
        </w:rPr>
        <w:t># Só é necessário constar na Matriz</w:t>
      </w:r>
      <w:r>
        <w:rPr>
          <w:b/>
          <w:color w:val="FF0000"/>
        </w:rPr>
        <w:t xml:space="preserve"> de Equivalência / </w:t>
      </w:r>
      <w:r w:rsidRPr="00002863">
        <w:rPr>
          <w:b/>
          <w:color w:val="FF0000"/>
        </w:rPr>
        <w:t>Substituição componentes com CÓDIGOS DIFERENTES entre si, componentes com mesmo código já possuem equivalência.</w:t>
      </w:r>
    </w:p>
    <w:sectPr w:rsidR="00002863" w:rsidRPr="00002863" w:rsidSect="000028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3"/>
    <w:rsid w:val="00002863"/>
    <w:rsid w:val="0001298C"/>
    <w:rsid w:val="000E721C"/>
    <w:rsid w:val="00137283"/>
    <w:rsid w:val="002A739F"/>
    <w:rsid w:val="003052E1"/>
    <w:rsid w:val="00331827"/>
    <w:rsid w:val="005D1F44"/>
    <w:rsid w:val="008A04B7"/>
    <w:rsid w:val="00A317CA"/>
    <w:rsid w:val="00A324A4"/>
    <w:rsid w:val="00B44507"/>
    <w:rsid w:val="00B64ED5"/>
    <w:rsid w:val="00C447AD"/>
    <w:rsid w:val="00EA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96A4"/>
  <w15:docId w15:val="{74E16B74-91F4-4932-B656-1762DC61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052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ap.ifsul.edu.br/edu/matriz/59/" TargetMode="External"/><Relationship Id="rId4" Type="http://schemas.openxmlformats.org/officeDocument/2006/relationships/hyperlink" Target="https://suap.ifsul.edu.br/edu/matriz/49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rogerlemes</dc:creator>
  <cp:lastModifiedBy>Rafael Silva</cp:lastModifiedBy>
  <cp:revision>2</cp:revision>
  <dcterms:created xsi:type="dcterms:W3CDTF">2021-01-20T17:32:00Z</dcterms:created>
  <dcterms:modified xsi:type="dcterms:W3CDTF">2021-01-20T17:32:00Z</dcterms:modified>
</cp:coreProperties>
</file>