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908" w:rsidRDefault="003A6D1E">
      <w:pPr>
        <w:spacing w:after="0"/>
        <w:ind w:left="0" w:hanging="2"/>
      </w:pPr>
      <w:bookmarkStart w:id="0" w:name="_heading=h.gjdgxs" w:colFirst="0" w:colLast="0"/>
      <w:bookmarkEnd w:id="0"/>
      <w:r>
        <w:rPr>
          <w:i/>
          <w:sz w:val="18"/>
          <w:szCs w:val="18"/>
        </w:rPr>
        <w:t>MEC/SETEC</w:t>
      </w:r>
    </w:p>
    <w:p w:rsidR="00873908" w:rsidRDefault="003A6D1E">
      <w:pPr>
        <w:spacing w:after="0"/>
        <w:ind w:left="0" w:hanging="2"/>
      </w:pPr>
      <w:r>
        <w:rPr>
          <w:i/>
          <w:sz w:val="18"/>
          <w:szCs w:val="18"/>
        </w:rPr>
        <w:t>INSTITUTO FEDERAL DE EDUCAÇÃO, CIÊNCIA E TECNOLOGIA SUL- RIO- GRANDENSE</w:t>
      </w:r>
    </w:p>
    <w:tbl>
      <w:tblPr>
        <w:tblStyle w:val="a"/>
        <w:tblW w:w="163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74"/>
        <w:gridCol w:w="1557"/>
        <w:gridCol w:w="972"/>
        <w:gridCol w:w="677"/>
        <w:gridCol w:w="525"/>
        <w:gridCol w:w="435"/>
        <w:gridCol w:w="645"/>
        <w:gridCol w:w="1035"/>
        <w:gridCol w:w="1695"/>
        <w:gridCol w:w="4335"/>
      </w:tblGrid>
      <w:tr w:rsidR="00873908">
        <w:tc>
          <w:tcPr>
            <w:tcW w:w="16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jc w:val="center"/>
            </w:pPr>
            <w:r>
              <w:rPr>
                <w:b/>
                <w:sz w:val="24"/>
                <w:szCs w:val="24"/>
              </w:rPr>
              <w:t>MATRIZ DE EQUIVALÊNCIA / SUBSTITUIÇÃO</w:t>
            </w:r>
          </w:p>
        </w:tc>
      </w:tr>
      <w:tr w:rsidR="00873908">
        <w:tc>
          <w:tcPr>
            <w:tcW w:w="16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CAMPUS PELOTAS</w:t>
            </w:r>
          </w:p>
        </w:tc>
      </w:tr>
      <w:tr w:rsidR="00873908">
        <w:tc>
          <w:tcPr>
            <w:tcW w:w="8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jc w:val="center"/>
            </w:pPr>
            <w:r>
              <w:rPr>
                <w:color w:val="FF0000"/>
              </w:rPr>
              <w:t>FORMAÇÃO PEDAGÓGICA PARA GRADUADOS NÃO LICENCIADOS</w:t>
            </w:r>
          </w:p>
        </w:tc>
        <w:tc>
          <w:tcPr>
            <w:tcW w:w="8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jc w:val="center"/>
            </w:pPr>
            <w:r>
              <w:rPr>
                <w:color w:val="FF0000"/>
              </w:rPr>
              <w:t>FORMAÇÃO PEDAGÓGICA PARA GRADUADOS NÃO LICENCIADOS</w:t>
            </w:r>
          </w:p>
        </w:tc>
      </w:tr>
      <w:tr w:rsidR="00873908">
        <w:trPr>
          <w:trHeight w:val="332"/>
        </w:trPr>
        <w:tc>
          <w:tcPr>
            <w:tcW w:w="7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i/>
              </w:rPr>
              <w:t xml:space="preserve">MATRIZ </w:t>
            </w:r>
            <w:r>
              <w:rPr>
                <w:i/>
                <w:color w:val="FF0000"/>
              </w:rPr>
              <w:t xml:space="preserve">               Nº/VIGÊNCIA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SENTIDO                          DA SUBSTITUIÇÃO</w:t>
            </w:r>
          </w:p>
        </w:tc>
        <w:tc>
          <w:tcPr>
            <w:tcW w:w="771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proofErr w:type="spellStart"/>
            <w:r>
              <w:rPr>
                <w:i/>
              </w:rPr>
              <w:t>APNPs</w:t>
            </w:r>
            <w:proofErr w:type="spellEnd"/>
            <w:r>
              <w:rPr>
                <w:i/>
              </w:rPr>
              <w:t xml:space="preserve"> OFERTADAS</w:t>
            </w:r>
          </w:p>
        </w:tc>
      </w:tr>
      <w:tr w:rsidR="00873908">
        <w:trPr>
          <w:trHeight w:val="649"/>
        </w:trPr>
        <w:tc>
          <w:tcPr>
            <w:tcW w:w="447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NOME DO COMPONENTE</w:t>
            </w:r>
          </w:p>
        </w:tc>
        <w:tc>
          <w:tcPr>
            <w:tcW w:w="1557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PERÍODO LETIVO</w:t>
            </w:r>
          </w:p>
        </w:tc>
        <w:tc>
          <w:tcPr>
            <w:tcW w:w="6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CH</w:t>
            </w:r>
          </w:p>
        </w:tc>
        <w:tc>
          <w:tcPr>
            <w:tcW w:w="9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645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CH</w:t>
            </w:r>
          </w:p>
        </w:tc>
        <w:tc>
          <w:tcPr>
            <w:tcW w:w="1035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PERÍODO LETIVO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CÓDIGO DA APNP</w:t>
            </w:r>
          </w:p>
        </w:tc>
        <w:tc>
          <w:tcPr>
            <w:tcW w:w="43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NOME DA APNP</w:t>
            </w:r>
          </w:p>
        </w:tc>
      </w:tr>
      <w:tr w:rsidR="00873908">
        <w:trPr>
          <w:trHeight w:val="317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Educação Mediada por Tecnologias II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240607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rFonts w:ascii="Verdana" w:eastAsia="Verdana" w:hAnsi="Verdana" w:cs="Verdana"/>
                <w:sz w:val="18"/>
                <w:szCs w:val="18"/>
              </w:rPr>
              <w:t>2020/1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</w:pPr>
            <w:r>
              <w:rPr>
                <w:rFonts w:ascii="Verdana" w:eastAsia="Verdana" w:hAnsi="Verdana" w:cs="Verdana"/>
                <w:sz w:val="18"/>
                <w:szCs w:val="18"/>
              </w:rPr>
              <w:t>30h/a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457200" cy="20955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40h/a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2020/E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245466</w:t>
            </w: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TICs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 xml:space="preserve"> para Ensino Remoto - APNP</w:t>
            </w:r>
          </w:p>
        </w:tc>
      </w:tr>
      <w:tr w:rsidR="00873908">
        <w:trPr>
          <w:trHeight w:val="52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Sociologia da educação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PEL_DES 297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2020/1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45/ha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457200" cy="20955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45/ha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2020/E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APNP.FPG.010</w:t>
            </w: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Sociologia da Educação</w:t>
            </w: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Educação, Sociedade e Trabalho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PEL_DES.279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2020/1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30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457200" cy="20955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30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2020/E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APNP.FPG.001</w:t>
            </w: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Capitalismo dependente e Educação Frente os desafios da pandemia</w:t>
            </w: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Fundamentos e Políticas da Educação Profissional e Tecnológica II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PEL_DES.287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2020/1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30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457200" cy="209550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30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2020/E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APNP.FPG.006</w:t>
            </w: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Políticas Públicas e Inclusão Social na Educação Profissional e Tecnológica.</w:t>
            </w: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Educação, Cultura e Diversidade II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PEL_DES.299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2020/1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 xml:space="preserve">30 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457200" cy="209550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30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2020/E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APNP.FPG.007</w:t>
            </w: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3908" w:rsidRDefault="003A6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FILOSOFIA E PENSAMENTO DA DIFERENÇA: alguns rastros conceituais</w:t>
            </w: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color w:val="000000"/>
              </w:rPr>
            </w:pPr>
            <w:r>
              <w:t>Gestão Educacional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PEL DES.301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2020/1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457200" cy="209550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2020/E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E6E7E8"/>
              </w:rPr>
              <w:t>APNP.FPG.009</w:t>
            </w: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color w:val="000000"/>
              </w:rPr>
            </w:pPr>
            <w:r>
              <w:t>Gestão Educacional</w:t>
            </w: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color w:val="000000"/>
              </w:rPr>
            </w:pPr>
            <w:r>
              <w:t>Produção Textual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PEL_DES.302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2020/1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2020/E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APNP.FPG.013</w:t>
            </w: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color w:val="000000"/>
              </w:rPr>
            </w:pPr>
            <w:r>
              <w:t>Produção Textual</w:t>
            </w: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color w:val="000000"/>
              </w:rPr>
            </w:pPr>
            <w:r>
              <w:t>Teorias Educacionais Contemporâneas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PEL_DES.295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2020/1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457200" cy="20955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2020/E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APNP.FPG.012</w:t>
            </w: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color w:val="000000"/>
              </w:rPr>
            </w:pPr>
            <w:r>
              <w:t>Teorias Educacionais Contemporâneas</w:t>
            </w: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color w:val="000000"/>
              </w:rPr>
            </w:pPr>
            <w:r>
              <w:t>Atividade Docente Orientada IV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PEL-DES.298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2020/1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90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457200" cy="20955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90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2020/E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highlight w:val="white"/>
              </w:rPr>
              <w:t>APNP.FPG.011</w:t>
            </w: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highlight w:val="white"/>
              </w:rPr>
              <w:t>ADO IV</w:t>
            </w: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rPr>
                <w:color w:val="000000"/>
              </w:rPr>
            </w:pPr>
            <w:r>
              <w:t>Arte, educação e expressão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PEL_DES.296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2020/1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457200" cy="20955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30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2020/E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t>APNP.FGP.008</w:t>
            </w: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3A6D1E">
            <w:pPr>
              <w:widowControl w:val="0"/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Formação no ciberespaço: </w:t>
            </w:r>
            <w:proofErr w:type="spellStart"/>
            <w:r>
              <w:t>ciberaulas</w:t>
            </w:r>
            <w:proofErr w:type="spellEnd"/>
            <w:r>
              <w:t xml:space="preserve"> e </w:t>
            </w:r>
            <w:proofErr w:type="spellStart"/>
            <w:r>
              <w:t>ciberpoéticas</w:t>
            </w:r>
            <w:proofErr w:type="spellEnd"/>
            <w:r>
              <w:t xml:space="preserve"> visuais</w:t>
            </w: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D07161" w:rsidP="0003237F">
            <w:pPr>
              <w:widowControl w:val="0"/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Orientação de Pesquisa III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D07161" w:rsidRPr="0003237F" w:rsidRDefault="00D07161" w:rsidP="0003237F">
            <w:pPr>
              <w:ind w:left="0" w:hanging="2"/>
            </w:pPr>
            <w:r w:rsidRPr="0003237F">
              <w:t>PEL_DES.</w:t>
            </w:r>
            <w:bookmarkStart w:id="1" w:name="_GoBack"/>
            <w:bookmarkEnd w:id="1"/>
            <w:r w:rsidRPr="0003237F">
              <w:t>300</w:t>
            </w:r>
          </w:p>
          <w:p w:rsidR="00873908" w:rsidRPr="0003237F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D07161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2020/1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D07161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D07161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D07161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2020/E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D07161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APNP</w:t>
            </w:r>
            <w:r w:rsidR="0003237F">
              <w:rPr>
                <w:color w:val="000000"/>
              </w:rPr>
              <w:t>.FGP.4N</w:t>
            </w: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D07161" w:rsidP="0003237F">
            <w:pPr>
              <w:widowControl w:val="0"/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Orientação de Pesquisa III</w:t>
            </w: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73908">
        <w:trPr>
          <w:trHeight w:val="302"/>
        </w:trPr>
        <w:tc>
          <w:tcPr>
            <w:tcW w:w="4473" w:type="dxa"/>
            <w:tcBorders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35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73908">
        <w:trPr>
          <w:trHeight w:val="317"/>
        </w:trPr>
        <w:tc>
          <w:tcPr>
            <w:tcW w:w="447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873908" w:rsidRDefault="00873908">
            <w:pPr>
              <w:widowControl w:val="0"/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873908" w:rsidRDefault="003A6D1E">
      <w:pPr>
        <w:spacing w:after="0"/>
        <w:ind w:left="1" w:hanging="3"/>
      </w:pPr>
      <w:r>
        <w:rPr>
          <w:b/>
          <w:color w:val="0070C0"/>
          <w:sz w:val="28"/>
          <w:szCs w:val="28"/>
          <w:u w:val="single"/>
        </w:rPr>
        <w:t>ORIENTAÇÕES PARA PREENCHIMENTO DA MATRIZ</w:t>
      </w:r>
    </w:p>
    <w:p w:rsidR="00873908" w:rsidRDefault="00873908">
      <w:pPr>
        <w:spacing w:after="0"/>
        <w:ind w:left="1" w:hanging="3"/>
        <w:rPr>
          <w:b/>
          <w:color w:val="FF0000"/>
          <w:sz w:val="28"/>
          <w:szCs w:val="28"/>
        </w:rPr>
      </w:pPr>
    </w:p>
    <w:tbl>
      <w:tblPr>
        <w:tblStyle w:val="a0"/>
        <w:tblW w:w="156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88"/>
        <w:gridCol w:w="1684"/>
        <w:gridCol w:w="7022"/>
      </w:tblGrid>
      <w:tr w:rsidR="00873908">
        <w:trPr>
          <w:trHeight w:val="228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jc w:val="center"/>
            </w:pPr>
            <w:r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>
              <w:rPr>
                <w:b/>
                <w:color w:val="FF0000"/>
                <w:sz w:val="18"/>
                <w:szCs w:val="18"/>
              </w:rPr>
              <w:t>) substituir (</w:t>
            </w:r>
            <w:proofErr w:type="spellStart"/>
            <w:r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>
              <w:rPr>
                <w:b/>
                <w:color w:val="FF0000"/>
                <w:sz w:val="18"/>
                <w:szCs w:val="18"/>
              </w:rPr>
              <w:t xml:space="preserve"> igual ou maior)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rPr>
                <w:b/>
                <w:color w:val="FF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38100</wp:posOffset>
                      </wp:positionV>
                      <wp:extent cx="359410" cy="25400"/>
                      <wp:effectExtent l="0" t="0" r="0" b="0"/>
                      <wp:wrapNone/>
                      <wp:docPr id="2" name="Conector de Seta Re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66295" y="3779683"/>
                                <a:ext cx="3594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38100</wp:posOffset>
                      </wp:positionV>
                      <wp:extent cx="359410" cy="254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941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jc w:val="center"/>
            </w:pPr>
            <w:r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>
              <w:rPr>
                <w:b/>
                <w:color w:val="FF0000"/>
                <w:sz w:val="18"/>
                <w:szCs w:val="18"/>
              </w:rPr>
              <w:t>) ser substituído(s) (</w:t>
            </w:r>
            <w:proofErr w:type="spellStart"/>
            <w:r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>
              <w:rPr>
                <w:b/>
                <w:color w:val="FF0000"/>
                <w:sz w:val="18"/>
                <w:szCs w:val="18"/>
              </w:rPr>
              <w:t xml:space="preserve"> igual ou menor)</w:t>
            </w:r>
          </w:p>
        </w:tc>
      </w:tr>
      <w:tr w:rsidR="00873908">
        <w:trPr>
          <w:trHeight w:val="273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jc w:val="center"/>
            </w:pPr>
            <w:r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>
              <w:rPr>
                <w:b/>
                <w:color w:val="FF0000"/>
                <w:sz w:val="18"/>
                <w:szCs w:val="18"/>
              </w:rPr>
              <w:t>) ser substituído(s) (</w:t>
            </w:r>
            <w:proofErr w:type="spellStart"/>
            <w:r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>
              <w:rPr>
                <w:b/>
                <w:color w:val="FF0000"/>
                <w:sz w:val="18"/>
                <w:szCs w:val="18"/>
              </w:rPr>
              <w:t xml:space="preserve"> igual ou menor)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rPr>
                <w:b/>
                <w:color w:val="FF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76200</wp:posOffset>
                      </wp:positionV>
                      <wp:extent cx="359410" cy="25400"/>
                      <wp:effectExtent l="0" t="0" r="0" b="0"/>
                      <wp:wrapNone/>
                      <wp:docPr id="1" name="Conector de Seta Re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166295" y="3779683"/>
                                <a:ext cx="3594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76200</wp:posOffset>
                      </wp:positionV>
                      <wp:extent cx="359410" cy="254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941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jc w:val="center"/>
            </w:pPr>
            <w:r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>
              <w:rPr>
                <w:b/>
                <w:color w:val="FF0000"/>
                <w:sz w:val="18"/>
                <w:szCs w:val="18"/>
              </w:rPr>
              <w:t>) substituir (</w:t>
            </w:r>
            <w:proofErr w:type="spellStart"/>
            <w:r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>
              <w:rPr>
                <w:b/>
                <w:color w:val="FF0000"/>
                <w:sz w:val="18"/>
                <w:szCs w:val="18"/>
              </w:rPr>
              <w:t xml:space="preserve"> igual ou maior)</w:t>
            </w:r>
          </w:p>
        </w:tc>
      </w:tr>
      <w:tr w:rsidR="00873908">
        <w:trPr>
          <w:trHeight w:val="278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jc w:val="center"/>
            </w:pPr>
            <w:r>
              <w:rPr>
                <w:b/>
                <w:color w:val="FF0000"/>
                <w:sz w:val="18"/>
                <w:szCs w:val="18"/>
              </w:rPr>
              <w:t>Componentes de Carga Horária Igual, que se equivalem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rPr>
                <w:b/>
                <w:color w:val="FF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88900</wp:posOffset>
                      </wp:positionV>
                      <wp:extent cx="359410" cy="25400"/>
                      <wp:effectExtent l="0" t="0" r="0" b="0"/>
                      <wp:wrapNone/>
                      <wp:docPr id="3" name="Conector de Seta Re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66295" y="3779683"/>
                                <a:ext cx="3594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stealth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88900</wp:posOffset>
                      </wp:positionV>
                      <wp:extent cx="359410" cy="2540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941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908" w:rsidRDefault="003A6D1E">
            <w:pPr>
              <w:spacing w:after="0" w:line="240" w:lineRule="auto"/>
              <w:ind w:left="0" w:hanging="2"/>
              <w:jc w:val="center"/>
            </w:pPr>
            <w:r>
              <w:rPr>
                <w:b/>
                <w:color w:val="FF0000"/>
                <w:sz w:val="18"/>
                <w:szCs w:val="18"/>
              </w:rPr>
              <w:t>Componentes de Carga Horária Igual, que se equivalem</w:t>
            </w:r>
          </w:p>
        </w:tc>
      </w:tr>
    </w:tbl>
    <w:p w:rsidR="00873908" w:rsidRDefault="00873908">
      <w:pPr>
        <w:ind w:left="0" w:hanging="2"/>
        <w:rPr>
          <w:b/>
          <w:color w:val="FF0000"/>
          <w:sz w:val="16"/>
          <w:szCs w:val="16"/>
        </w:rPr>
      </w:pPr>
    </w:p>
    <w:p w:rsidR="00873908" w:rsidRDefault="003A6D1E">
      <w:pPr>
        <w:ind w:left="0" w:hanging="2"/>
      </w:pPr>
      <w:r>
        <w:rPr>
          <w:b/>
          <w:color w:val="FF0000"/>
        </w:rPr>
        <w:t># É necessário que o componente curricular que irá substituir, tenha carga horária IGUAL ou MAIOR ao componente que será substituído.</w:t>
      </w:r>
    </w:p>
    <w:p w:rsidR="00873908" w:rsidRDefault="003A6D1E">
      <w:pPr>
        <w:ind w:left="0" w:hanging="2"/>
      </w:pPr>
      <w:r>
        <w:rPr>
          <w:b/>
          <w:color w:val="FF0000"/>
        </w:rPr>
        <w:t># Um componente pode substituir dois ou mais componentes desde que sua carga horária seja IGUAL ou MAIOR a soma das cargas horárias a serem substituídas.</w:t>
      </w:r>
    </w:p>
    <w:p w:rsidR="00873908" w:rsidRDefault="003A6D1E">
      <w:pPr>
        <w:ind w:left="0" w:hanging="2"/>
      </w:pPr>
      <w:r>
        <w:rPr>
          <w:b/>
          <w:color w:val="FF0000"/>
        </w:rPr>
        <w:t># Dois ou mais componentes podem substituir um componente, desde que a soma de suas cargas horárias seja IGUAL ou MAIOR que a do componente substituído.</w:t>
      </w:r>
    </w:p>
    <w:p w:rsidR="00873908" w:rsidRDefault="003A6D1E">
      <w:pPr>
        <w:ind w:left="0" w:hanging="2"/>
      </w:pPr>
      <w:r>
        <w:rPr>
          <w:b/>
          <w:color w:val="FF0000"/>
        </w:rPr>
        <w:t># Só é necessário constar na Matriz de Equivalência / Substituição componentes com CÓDIGOS DIFERENTES entre si, componentes com mesmo código já possuem equivalência.</w:t>
      </w:r>
    </w:p>
    <w:sectPr w:rsidR="00873908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08"/>
    <w:rsid w:val="0003237F"/>
    <w:rsid w:val="003A6D1E"/>
    <w:rsid w:val="00873908"/>
    <w:rsid w:val="00D0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E02216"/>
  <w15:docId w15:val="{BF877DD2-F63D-0B4C-9B38-EB9FADFF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Corpodotexto">
    <w:name w:val="Corpo do texto"/>
    <w:basedOn w:val="Normal"/>
    <w:pPr>
      <w:spacing w:after="140"/>
    </w:pPr>
  </w:style>
  <w:style w:type="paragraph" w:styleId="Lista">
    <w:name w:val="List"/>
    <w:basedOn w:val="Corpodotexto"/>
    <w:rPr>
      <w:rFonts w:cs="Arial Unicode M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07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gFGe/+dEZ+YnyLY0c7UZuTnfA==">AMUW2mX4AUX+uEW9UEUd1llh3KvXvZ6fjahcGpUpHegGHRnytde773wop+yeX/5zxg7y1HiOejFzJrQOo4NqIzP69XnrQgN9yyLZLWB8hENTYN3oKDZkaWetQEIMVPVoXr+qOBoW2y7o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rogerlemes</dc:creator>
  <cp:lastModifiedBy>Microsoft Office User</cp:lastModifiedBy>
  <cp:revision>3</cp:revision>
  <dcterms:created xsi:type="dcterms:W3CDTF">2021-01-07T15:19:00Z</dcterms:created>
  <dcterms:modified xsi:type="dcterms:W3CDTF">2021-01-15T16:18:00Z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