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shd w:fill="a8d08d" w:val="clear"/>
        </w:rPr>
        <w:drawing>
          <wp:inline distB="114300" distT="114300" distL="114300" distR="114300">
            <wp:extent cx="5201603" cy="926564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01603" cy="92656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Ações de Permanência e êxito – 202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highlight w:val="white"/>
          <w:rtl w:val="0"/>
        </w:rPr>
        <w:t xml:space="preserve">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460.0" w:type="dxa"/>
        <w:jc w:val="left"/>
        <w:tblInd w:w="3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00"/>
        <w:gridCol w:w="3960"/>
        <w:tblGridChange w:id="0">
          <w:tblGrid>
            <w:gridCol w:w="4500"/>
            <w:gridCol w:w="396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highlight w:val="white"/>
                <w:rtl w:val="0"/>
              </w:rPr>
              <w:t xml:space="preserve">AÇÕES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highlight w:val="white"/>
                <w:rtl w:val="0"/>
              </w:rPr>
              <w:t xml:space="preserve">RISCOS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Processos de acompanhamento das dificuldades de aprendizagem e desempenho escolar: </w:t>
            </w:r>
          </w:p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Baixo número de profissionais habilitados para essa atividade - Pedagogos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Recuperação paralela e provas extras de recuperação durante o ano; </w:t>
            </w:r>
          </w:p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Baixa adesão dos estudantes trabalhadores, no caso de estudantes do curso subsequente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Atendimento individualizado do professor aos estudantes;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Os estudantes não procurarem ou sentirem dificuldades em receber esse atendimento;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Ir atrás de alunos infrequentes através de ligação telefônica feita pelo setor pedagógico, com registro em ficha do mesmo;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Os docentes não se informarem com o setor pedagógico sobre a situação desses estudantes;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Incentivos à pesquisa e extensão; </w:t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Baixo número de bolsas para estudantes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Conselho de classe;</w:t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Retorno docente apenas sobre aspecto quantitativo dos processos avaliativos dos estudantes;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Apresentação dos cursos, no início de cada semestre;</w:t>
            </w:r>
          </w:p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Baixa adesão dos estudantes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Aulas de revisão, recuperação de conteúdos e revisão de provas;</w:t>
            </w:r>
          </w:p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Baixa adesão dos estudantes e resistência de alguns professores em ofertar a revisão das avaliações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Projeto de ensino de nivelamento na área da Matemática;</w:t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Baixa adesão dos estudantes;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Construção de ficha diagnóstica de orientação escolar para conhecer a realidade e dificuldades dos estudantes;</w:t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Baixa procura e pouco conhecimento por parte dos docentes;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Reuniões pedagógicas formativas mensal;</w:t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Baixa adesão por parte dos docentes;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Na área da assistência estudantil ações como: </w:t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Auxílio alimentação, </w:t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Auxílio conectividade;</w:t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Falta de recursos para atender toda a demanda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Reunião com pais (Integrado) para expor baixo rendimento dos estudantes e tentar contornar essa situação com a parceria da família;</w:t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Pouca presença por parte dos pais;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Semana de acolhida aos novos estudantes;</w:t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Pouco envolvimento da equipe de servidores para a organização das atividades de acolhida aos novos estudantes;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Atendimento pedagógico para estudantes com dificuldades de aprendizagem e com deficiência. </w:t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Encaminhamento tardio por parte da equipe docente. Resistência dos estudantes em receber o atendimento, mais comum com discentes adultos;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Orientação pedagógica para docentes</w:t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Resistência dos docentes em refletir sobre a própria prática pedagógica;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Acompanhamento psicológico </w:t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Baixa procura por parte dos estudantes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Acompanhamento semanal de frequência dos estudantes/familiares por meio de contato telefônico (durante a pandemia)</w:t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Dificuldade de conseguir contato;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Adaptação das diretrizes e planos de ensino para a oferta das APNP</w:t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Adaptação dos servidores a oferta das atividades no formato remoto;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Atividades coletivas psicopedagógica com as turmas</w:t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Baixa participação dos estudantes;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Reuniões Diálogos: Encontros semanais com equipe pedagógica e equipe docente para mapeamento de estudantes com baixa frequência e dificuldades de aprendizagem. Após a identificação destes, a equipe pedagógica acompanhada de pelo menos um docente realiza o atendimento online do estudante e familiar, em caso de menor de idade, com o objetivo de estabelecer parcerias com a família facilitando a permanência e êxito dos estudantes.</w:t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Baixa engajamento de alguns docentes na participação dos atendimentos;</w:t>
            </w:r>
          </w:p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Dificuldades de sensibilizar algumas famílias e por consequência materializar os acordos pedagógicos realizados junto à escola.</w:t>
            </w:r>
          </w:p>
        </w:tc>
      </w:tr>
    </w:tbl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9372A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PargrafodaLista">
    <w:name w:val="List Paragraph"/>
    <w:basedOn w:val="Normal"/>
    <w:uiPriority w:val="34"/>
    <w:qFormat w:val="1"/>
    <w:rsid w:val="00E9372A"/>
    <w:pPr>
      <w:ind w:left="720"/>
      <w:contextualSpacing w:val="1"/>
    </w:pPr>
  </w:style>
  <w:style w:type="table" w:styleId="Tabelacomgrade">
    <w:name w:val="Table Grid"/>
    <w:basedOn w:val="Tabelanormal"/>
    <w:uiPriority w:val="39"/>
    <w:rsid w:val="00E9372A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+bIN+LUD/xLN0cSKIqKo4N97Ag==">AMUW2mXBzjl8EET7eb51kZiJ1S2Da+4xddCgOMJozR30wtJIy8bB0EtX0E5QufcC4lV1K2tifDb7Dc8a6hp+7M6aHhHO5d6GyYCL9AQVWM/Jl6K6uJlWi/aKU5lCZWB8XXLPs6TUFZgN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2021-11-19T19:54:00Z</dcterms:created>
  <dc:creator>cotin</dc:creator>
</cp:coreProperties>
</file>