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6" w:rsidRDefault="00736F86">
      <w:pPr>
        <w:pStyle w:val="Normal2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7C3" w:rsidRDefault="00E84E5E" w:rsidP="00DD527C">
      <w:pPr>
        <w:pStyle w:val="Normal2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Plano de atividades pedagógicas não presenciais (PAT) do curso Técnico em Administração, forma integrada, do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IFSul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Lajeado</w:t>
      </w:r>
    </w:p>
    <w:p w:rsidR="00E86AD0" w:rsidRDefault="00E86AD0" w:rsidP="00DD527C">
      <w:pPr>
        <w:pStyle w:val="Normal2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construção deste PAT foi realizada com base no levantamento de dados com os estudantes ingressantes, realizado no início dos períodos letivos de 2019 e 2020; do levantamento situacional da comunidade acadêmica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os impactos da pandemia da COVID-19, realizado nos meses de maio e junho de 2020; do levantamento com a comunidade acadêmica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sobre a possibilidade de ensino remoto emergencial, realizado em agosto de 2020; do levantamento com estudantes do EMI sobre a situação emocional e de saúde mental no período de pandemia da COVID-19, também realizado em agosto de 2020; 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proofErr w:type="spellStart"/>
      <w:r w:rsidR="00736F86">
        <w:rPr>
          <w:rFonts w:ascii="Times New Roman" w:eastAsia="Times New Roman" w:hAnsi="Times New Roman" w:cs="Times New Roman"/>
          <w:sz w:val="24"/>
          <w:szCs w:val="24"/>
        </w:rPr>
        <w:t>webconferências</w:t>
      </w:r>
      <w:proofErr w:type="spellEnd"/>
      <w:r w:rsidR="0073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 estu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>dantes do Curso</w:t>
      </w:r>
      <w:r>
        <w:rPr>
          <w:rFonts w:ascii="Times New Roman" w:eastAsia="Times New Roman" w:hAnsi="Times New Roman" w:cs="Times New Roman"/>
          <w:sz w:val="24"/>
          <w:szCs w:val="24"/>
        </w:rPr>
        <w:t>, realizadas no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>s meses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agosto 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 xml:space="preserve">e setembro </w:t>
      </w:r>
      <w:r>
        <w:rPr>
          <w:rFonts w:ascii="Times New Roman" w:eastAsia="Times New Roman" w:hAnsi="Times New Roman" w:cs="Times New Roman"/>
          <w:sz w:val="24"/>
          <w:szCs w:val="24"/>
        </w:rPr>
        <w:t>de 2020.</w:t>
      </w:r>
    </w:p>
    <w:p w:rsidR="00B007C3" w:rsidRDefault="00B007C3">
      <w:pPr>
        <w:pStyle w:val="Normal2"/>
        <w:tabs>
          <w:tab w:val="left" w:pos="851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curso Técnico em Administração, forma integrada, possui as seguintes turmas:</w:t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2"/>
        <w:gridCol w:w="1533"/>
        <w:gridCol w:w="1533"/>
        <w:gridCol w:w="1522"/>
        <w:gridCol w:w="1522"/>
        <w:gridCol w:w="1655"/>
      </w:tblGrid>
      <w:tr w:rsidR="00B007C3" w:rsidTr="00DA3902">
        <w:trPr>
          <w:trHeight w:val="293"/>
        </w:trPr>
        <w:tc>
          <w:tcPr>
            <w:tcW w:w="1982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533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ano manhã</w:t>
            </w:r>
          </w:p>
        </w:tc>
        <w:tc>
          <w:tcPr>
            <w:tcW w:w="1533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2º ano manhã</w:t>
            </w:r>
          </w:p>
        </w:tc>
        <w:tc>
          <w:tcPr>
            <w:tcW w:w="1522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ano tarde</w:t>
            </w:r>
          </w:p>
        </w:tc>
        <w:tc>
          <w:tcPr>
            <w:tcW w:w="1522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2º ano tarde</w:t>
            </w:r>
          </w:p>
        </w:tc>
        <w:tc>
          <w:tcPr>
            <w:tcW w:w="1655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007C3" w:rsidTr="00DA3902">
        <w:trPr>
          <w:trHeight w:val="303"/>
        </w:trPr>
        <w:tc>
          <w:tcPr>
            <w:tcW w:w="1982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de estudantes</w:t>
            </w:r>
          </w:p>
        </w:tc>
        <w:tc>
          <w:tcPr>
            <w:tcW w:w="1533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2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2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</w:tcPr>
          <w:p w:rsidR="00B007C3" w:rsidRDefault="00E84E5E">
            <w:pPr>
              <w:pStyle w:val="Normal2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B007C3" w:rsidRDefault="00B007C3">
      <w:pPr>
        <w:pStyle w:val="Normal2"/>
        <w:tabs>
          <w:tab w:val="left" w:pos="851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sistematização das atividades pedagógicas não presenciais (APNP) será realizada no ambiente virtual de aprendizagem (AVA) – Moodle, já adotado pelo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Lajeado. Todos os componentes curriculares serão disponibilizados na plataforma Moodle, cabendo ao docente fazer a sistematização das APNP. Os docentes estão participando de capacitações para uso do Moodle, desde 2018.</w:t>
      </w:r>
    </w:p>
    <w:p w:rsidR="00B007C3" w:rsidRDefault="00B007C3">
      <w:pPr>
        <w:pStyle w:val="Normal2"/>
        <w:tabs>
          <w:tab w:val="left" w:pos="851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componentes curriculares que serão ofertados por meio de APNP são:</w:t>
      </w:r>
    </w:p>
    <w:tbl>
      <w:tblPr>
        <w:tblStyle w:val="a3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1134"/>
        <w:gridCol w:w="4252"/>
      </w:tblGrid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anual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</w:t>
            </w:r>
          </w:p>
        </w:tc>
      </w:tr>
      <w:tr w:rsidR="00B007C3" w:rsidTr="004F5881">
        <w:tc>
          <w:tcPr>
            <w:tcW w:w="9639" w:type="dxa"/>
            <w:gridSpan w:val="3"/>
            <w:vAlign w:val="center"/>
          </w:tcPr>
          <w:p w:rsidR="00B007C3" w:rsidRDefault="00E84E5E">
            <w:pPr>
              <w:pStyle w:val="Normal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 ano</w:t>
            </w:r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Wemerson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Castro Oliveira</w:t>
            </w:r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Física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Fuke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Filosofia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Itamar Luís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Hammes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 Ismael de Lima</w:t>
            </w:r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Fundamentos da Administração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Dra. Claire Gomes dos Santos</w:t>
            </w:r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Me. 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Carissimi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Informática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 João Henrique da Rosa</w:t>
            </w:r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Acadêmica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Dra. Ana Maria Geller</w:t>
            </w:r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Estrangeira I – Inglês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 Melissa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Heberle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Diedrich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Língua Portuguesa e Literatura Brasileira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Ma. Laura Verônica Rodriguez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Imbriaco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Ma. Adriana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Magedanz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Métodos e Técnicas Mercadológicas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Me. Rodrigo Luís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Melz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Relações Humanas no Trabalho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Molin</w:t>
            </w:r>
            <w:proofErr w:type="spellEnd"/>
          </w:p>
        </w:tc>
      </w:tr>
      <w:tr w:rsidR="00B007C3" w:rsidTr="00DA3902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Sociologia 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Amílcar Cardoso Vilaça de Freitas</w:t>
            </w:r>
          </w:p>
        </w:tc>
      </w:tr>
      <w:tr w:rsidR="00B007C3" w:rsidTr="004F5881">
        <w:tc>
          <w:tcPr>
            <w:tcW w:w="9639" w:type="dxa"/>
            <w:gridSpan w:val="3"/>
          </w:tcPr>
          <w:p w:rsidR="00B007C3" w:rsidRDefault="00E84E5E">
            <w:pPr>
              <w:pStyle w:val="Normal2"/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 ano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 Janaina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Schvambach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Wemerson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Castro Oliveira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Física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Fuke</w:t>
            </w:r>
            <w:proofErr w:type="spellEnd"/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Filosofia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Itamar Luís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Hammes</w:t>
            </w:r>
            <w:proofErr w:type="spellEnd"/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Física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 Ismael de Lima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Me. 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Carissimi</w:t>
            </w:r>
            <w:proofErr w:type="spellEnd"/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Informática Aplicada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 João Henrique da Rosa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 à Gestão de Pessoas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Molin</w:t>
            </w:r>
            <w:proofErr w:type="spellEnd"/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Estrangeira II – Inglês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 Melissa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Heberle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Diedrich</w:t>
            </w:r>
            <w:proofErr w:type="spellEnd"/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Língua Portuguesa e Literatura Brasileira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Ma. Laura Verônica Rodriguez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Imbriaco</w:t>
            </w:r>
            <w:proofErr w:type="spellEnd"/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 Vagner Augusto Betti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Sociologia II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Amílcar Cardoso Vilaça de Freitas</w:t>
            </w:r>
          </w:p>
        </w:tc>
      </w:tr>
      <w:tr w:rsidR="00B007C3" w:rsidTr="004F5881">
        <w:tc>
          <w:tcPr>
            <w:tcW w:w="4253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Técnicas de Negociação</w:t>
            </w:r>
          </w:p>
        </w:tc>
        <w:tc>
          <w:tcPr>
            <w:tcW w:w="1134" w:type="dxa"/>
            <w:vAlign w:val="center"/>
          </w:tcPr>
          <w:p w:rsidR="00B007C3" w:rsidRDefault="00E84E5E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4252" w:type="dxa"/>
            <w:vAlign w:val="center"/>
          </w:tcPr>
          <w:p w:rsidR="00B007C3" w:rsidRDefault="00E84E5E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Dra. Claire Gomes dos Santos</w:t>
            </w:r>
          </w:p>
        </w:tc>
      </w:tr>
    </w:tbl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oferta dos componentes curriculares por APNP acontecerá </w:t>
      </w:r>
      <w:r w:rsidR="00E86AD0">
        <w:rPr>
          <w:rFonts w:ascii="Times New Roman" w:eastAsia="Times New Roman" w:hAnsi="Times New Roman" w:cs="Times New Roman"/>
          <w:sz w:val="24"/>
          <w:szCs w:val="24"/>
        </w:rPr>
        <w:t xml:space="preserve">a partir de 28 de setembro de 2020, </w:t>
      </w:r>
      <w:r>
        <w:rPr>
          <w:rFonts w:ascii="Times New Roman" w:eastAsia="Times New Roman" w:hAnsi="Times New Roman" w:cs="Times New Roman"/>
          <w:sz w:val="24"/>
          <w:szCs w:val="24"/>
        </w:rPr>
        <w:t>de forma escalonada, conforme segue:</w:t>
      </w:r>
    </w:p>
    <w:p w:rsidR="00B007C3" w:rsidRDefault="00E84E5E">
      <w:pPr>
        <w:pStyle w:val="Normal2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Durante o período de ambientação, que será de duas semanas, serão ofertados cinco componentes curriculares com carga horária semanal de três períodos cada, totalizando 15 períodos semanais (5 componentes x 3 períodos = 15 períodos), o que corresponde a 55% da carga horária semanal total ofertada no ensino presencial. Será ofertado um componente curricular em cada dia da semana, conforme o quadro de horários apresentado no anexo I.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período de ambientação comporta a realização de atividades de acolhimento e orientação sobre os princípios de convivência no ambiente virtual, evitando situações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cyberbullying</w:t>
      </w:r>
      <w:r>
        <w:rPr>
          <w:rFonts w:ascii="Times New Roman" w:eastAsia="Times New Roman" w:hAnsi="Times New Roman" w:cs="Times New Roman"/>
          <w:sz w:val="24"/>
          <w:szCs w:val="24"/>
        </w:rPr>
        <w:t>, de revisão dos conteúdos trabalhados anteriormente à suspensão do calendário acadêmico e avaliação de possíveis lacunas de aprendizagem dos estudantes, ocorrida durante o período de isolamento social.</w:t>
      </w:r>
    </w:p>
    <w:p w:rsidR="00B007C3" w:rsidRDefault="00E84E5E">
      <w:pPr>
        <w:pStyle w:val="Normal2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terceira e quarta semanas, serão ofertados </w:t>
      </w:r>
      <w:r w:rsidR="00E86AD0">
        <w:rPr>
          <w:rFonts w:ascii="Times New Roman" w:eastAsia="Times New Roman" w:hAnsi="Times New Roman" w:cs="Times New Roman"/>
          <w:sz w:val="24"/>
          <w:szCs w:val="24"/>
        </w:rPr>
        <w:t xml:space="preserve">os mesmos </w:t>
      </w:r>
      <w:r>
        <w:rPr>
          <w:rFonts w:ascii="Times New Roman" w:eastAsia="Times New Roman" w:hAnsi="Times New Roman" w:cs="Times New Roman"/>
          <w:sz w:val="24"/>
          <w:szCs w:val="24"/>
        </w:rPr>
        <w:t>cinco componentes curriculares</w:t>
      </w:r>
      <w:r w:rsidR="00E86AD0">
        <w:rPr>
          <w:rFonts w:ascii="Times New Roman" w:eastAsia="Times New Roman" w:hAnsi="Times New Roman" w:cs="Times New Roman"/>
          <w:sz w:val="24"/>
          <w:szCs w:val="24"/>
        </w:rPr>
        <w:t>, 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carga horária semanal de quatro períodos cada, totalizando 20 períodos semanais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componentes x 4 períodos = 20 p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>eríodos), o que corresponde a 74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carga horária semanal total ofertada no ensino presencial. Será ofertado um componente curricular em cada dia da semana, conforme o quadro de horários apresentado no anexo I.</w:t>
      </w:r>
    </w:p>
    <w:p w:rsidR="00B007C3" w:rsidRDefault="00E84E5E">
      <w:pPr>
        <w:pStyle w:val="Normal2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quinta semana até 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>o dia 23 de d</w:t>
      </w:r>
      <w:r>
        <w:rPr>
          <w:rFonts w:ascii="Times New Roman" w:eastAsia="Times New Roman" w:hAnsi="Times New Roman" w:cs="Times New Roman"/>
          <w:sz w:val="24"/>
          <w:szCs w:val="24"/>
        </w:rPr>
        <w:t>ezembro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eastAsia="Times New Roman" w:hAnsi="Times New Roman" w:cs="Times New Roman"/>
          <w:sz w:val="24"/>
          <w:szCs w:val="24"/>
        </w:rPr>
        <w:t>, serão ofertados sete componente</w:t>
      </w:r>
      <w:r w:rsidR="00736F86">
        <w:rPr>
          <w:rFonts w:ascii="Times New Roman" w:eastAsia="Times New Roman" w:hAnsi="Times New Roman" w:cs="Times New Roman"/>
          <w:sz w:val="24"/>
          <w:szCs w:val="24"/>
        </w:rPr>
        <w:t xml:space="preserve">s curriculares, três deles com quatro períodos </w:t>
      </w:r>
      <w:r>
        <w:rPr>
          <w:rFonts w:ascii="Times New Roman" w:eastAsia="Times New Roman" w:hAnsi="Times New Roman" w:cs="Times New Roman"/>
          <w:sz w:val="24"/>
          <w:szCs w:val="24"/>
        </w:rPr>
        <w:t>cada e q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>uatro com três períodos cada</w:t>
      </w:r>
      <w:r>
        <w:rPr>
          <w:rFonts w:ascii="Times New Roman" w:eastAsia="Times New Roman" w:hAnsi="Times New Roman" w:cs="Times New Roman"/>
          <w:sz w:val="24"/>
          <w:szCs w:val="24"/>
        </w:rPr>
        <w:t>, totalizando 24 períodos semanais (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 xml:space="preserve">3 componentes x 4 períodos + 4 componentes x 3 períodos </w:t>
      </w:r>
      <w:r>
        <w:rPr>
          <w:rFonts w:ascii="Times New Roman" w:eastAsia="Times New Roman" w:hAnsi="Times New Roman" w:cs="Times New Roman"/>
          <w:sz w:val="24"/>
          <w:szCs w:val="24"/>
        </w:rPr>
        <w:t>= 12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 xml:space="preserve"> períodos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+ 12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 xml:space="preserve"> períodos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24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 xml:space="preserve"> períodos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o que </w:t>
      </w:r>
      <w:r w:rsidRPr="00BF5F31">
        <w:rPr>
          <w:rFonts w:ascii="Times New Roman" w:eastAsia="Times New Roman" w:hAnsi="Times New Roman" w:cs="Times New Roman"/>
          <w:sz w:val="24"/>
          <w:szCs w:val="24"/>
        </w:rPr>
        <w:t xml:space="preserve">corresponde a </w:t>
      </w:r>
      <w:r w:rsidR="00BF5F31" w:rsidRPr="00BF5F31">
        <w:rPr>
          <w:rFonts w:ascii="Times New Roman" w:hAnsi="Times New Roman" w:cs="Times New Roman"/>
          <w:sz w:val="24"/>
          <w:szCs w:val="24"/>
        </w:rPr>
        <w:t>89</w:t>
      </w:r>
      <w:r w:rsidRPr="00BF5F3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carga horária semanal total ofertada no ensino presencial. Serão ofertados dois componentes cu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 xml:space="preserve">rriculares nas terças e quintas-feiras e um 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lastRenderedPageBreak/>
        <w:t>componente curricular nas segundas, quartas e sextas-feiras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6AD0" w:rsidRPr="00796D84">
        <w:rPr>
          <w:rFonts w:ascii="Times New Roman" w:eastAsia="Times New Roman" w:hAnsi="Times New Roman" w:cs="Times New Roman"/>
          <w:sz w:val="24"/>
          <w:szCs w:val="24"/>
        </w:rPr>
        <w:t>conforme o quadro de horários apresentado no anexo I.</w:t>
      </w:r>
    </w:p>
    <w:p w:rsidR="00B007C3" w:rsidRDefault="00BF5F31">
      <w:pPr>
        <w:pStyle w:val="Normal2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partir do dia 08 de fevereiro de </w:t>
      </w:r>
      <w:r w:rsidR="00E84E5E">
        <w:rPr>
          <w:rFonts w:ascii="Times New Roman" w:eastAsia="Times New Roman" w:hAnsi="Times New Roman" w:cs="Times New Roman"/>
          <w:sz w:val="24"/>
          <w:szCs w:val="24"/>
        </w:rPr>
        <w:t xml:space="preserve">2021, serão ofertados dez componentes curriculares, com três períodos cada, totalizando 30 períodos semanais (10 componentes x 3 períodos = 30 períodos), o que corresponde a 111% da carga horária semanal total ofertada no ensino presencial. Serão ofertados dois componentes curriculares em cada dia da semana, conforme o quadro de horários a ser </w:t>
      </w:r>
      <w:proofErr w:type="spellStart"/>
      <w:r w:rsidR="00E84E5E"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z w:val="24"/>
          <w:szCs w:val="24"/>
        </w:rPr>
        <w:t>icizado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início de fevereiro de 2021</w:t>
      </w:r>
      <w:r w:rsidR="00E84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7C3" w:rsidRDefault="0010684D">
      <w:pPr>
        <w:pStyle w:val="Normal2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</w:t>
      </w:r>
      <w:r w:rsidR="00E84E5E">
        <w:rPr>
          <w:rFonts w:ascii="Times New Roman" w:eastAsia="Times New Roman" w:hAnsi="Times New Roman" w:cs="Times New Roman"/>
          <w:sz w:val="24"/>
          <w:szCs w:val="24"/>
        </w:rPr>
        <w:t xml:space="preserve"> medida que completar a carga horária anual de um componente curricular, esse será substituído por outro, conforme atualização do quadro de horários a ser </w:t>
      </w:r>
      <w:proofErr w:type="spellStart"/>
      <w:r w:rsidR="00E84E5E">
        <w:rPr>
          <w:rFonts w:ascii="Times New Roman" w:eastAsia="Times New Roman" w:hAnsi="Times New Roman" w:cs="Times New Roman"/>
          <w:sz w:val="24"/>
          <w:szCs w:val="24"/>
        </w:rPr>
        <w:t>publicizado</w:t>
      </w:r>
      <w:proofErr w:type="spellEnd"/>
      <w:r w:rsidR="00E84E5E">
        <w:rPr>
          <w:rFonts w:ascii="Times New Roman" w:eastAsia="Times New Roman" w:hAnsi="Times New Roman" w:cs="Times New Roman"/>
          <w:sz w:val="24"/>
          <w:szCs w:val="24"/>
        </w:rPr>
        <w:t xml:space="preserve"> no decorrer das APNP.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momentos síncronos</w:t>
      </w:r>
      <w:r w:rsidR="00E40523">
        <w:rPr>
          <w:rFonts w:ascii="Times New Roman" w:eastAsia="Times New Roman" w:hAnsi="Times New Roman" w:cs="Times New Roman"/>
          <w:sz w:val="24"/>
          <w:szCs w:val="24"/>
        </w:rPr>
        <w:t>, quando acontecerem,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de até uma hora para cada componente curricular e acontecerão das 8h30min às 11h, para as turmas do turno da manhã, e das 14h às 16h30min, para as turmas do turno da tarde, com um intervalo de 30min. Os encontros síncronos acontece</w:t>
      </w:r>
      <w:r w:rsidR="001F564F">
        <w:rPr>
          <w:rFonts w:ascii="Times New Roman" w:eastAsia="Times New Roman" w:hAnsi="Times New Roman" w:cs="Times New Roman"/>
          <w:sz w:val="24"/>
          <w:szCs w:val="24"/>
        </w:rPr>
        <w:t xml:space="preserve">rão por meio de ferramentas de </w:t>
      </w:r>
      <w:proofErr w:type="spellStart"/>
      <w:r w:rsidR="001F564F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ebconferência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tais como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outra similar.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horário de atendimento remoto aos estudantes acontecerá no turno oposto de aulas da turma, conforme definido pelo docente com a turma e detalhamento no plano de ensino.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plano de ensino de cada componente curricular deverá ser adaptado para as APNP, conforme estrutura encaminhada pela equipe pedagógica (anexo II), especificando-se as atividades síncronas e assíncronas, as ferramentas digitais, </w:t>
      </w:r>
      <w:r w:rsidR="00BF5F31">
        <w:rPr>
          <w:rFonts w:ascii="Times New Roman" w:eastAsia="Times New Roman" w:hAnsi="Times New Roman" w:cs="Times New Roman"/>
          <w:sz w:val="24"/>
          <w:szCs w:val="24"/>
        </w:rPr>
        <w:t xml:space="preserve">as atividades interdisciplinares,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horário de atendimento remoto aos estudantes e os instrumentos de avaliação, recuperação paralela e reavaliação. No envio de atividades pelos estudantes pela plataforma Moodle será considerado o prazo, mínimo, de uma semana. O plano de ensino adaptado deverá ser encaminhado para coordenação de curso e supervisão pedagógica, até o final da quarta semana de oferta do componente curricular por meio de APNP. 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atividades interdisciplinares serão realizadas pelos núcleos atuantes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pelos docentes, conforme planejamento constante no plano de ensino de cada componente curricular, podendo ocorrer aos sábados</w:t>
      </w:r>
      <w:r w:rsidR="001F564F">
        <w:rPr>
          <w:rFonts w:ascii="Times New Roman" w:eastAsia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7C3" w:rsidRDefault="00B007C3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turma de 2º ano do turno da tarde há um estudante com necessidades específicas, necessitando-se adaptações no plano de ensino de alguns componentes curriculares, conforme orientações pedagógicas.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seja identificada a não participação de algum estudante das APNP, o mesmo deverá ser comunicado ao coordenador de curso e pedagogas, para os devidos encaminhamentos.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PAT será reavaliado pelo colegiado do curso e pelas representações estudantis, periodicamente, conforme a necessidade.</w:t>
      </w:r>
    </w:p>
    <w:p w:rsidR="00B007C3" w:rsidRDefault="00B007C3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320C25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717509783"/>
        </w:sdtPr>
        <w:sdtContent/>
      </w:sdt>
      <w:r w:rsidR="00E84E5E" w:rsidRPr="00E86AD0">
        <w:rPr>
          <w:rFonts w:ascii="Times New Roman" w:eastAsia="Times New Roman" w:hAnsi="Times New Roman" w:cs="Times New Roman"/>
          <w:b/>
          <w:sz w:val="24"/>
          <w:szCs w:val="24"/>
        </w:rPr>
        <w:t>Anexo I –</w:t>
      </w:r>
      <w:r w:rsidR="00E84E5E" w:rsidRPr="0006635D">
        <w:rPr>
          <w:rFonts w:ascii="Times New Roman" w:eastAsia="Times New Roman" w:hAnsi="Times New Roman" w:cs="Times New Roman"/>
          <w:b/>
          <w:sz w:val="24"/>
          <w:szCs w:val="24"/>
        </w:rPr>
        <w:t xml:space="preserve"> Quadro de horários </w:t>
      </w:r>
      <w:r w:rsidR="003D2065">
        <w:rPr>
          <w:rFonts w:ascii="Times New Roman" w:eastAsia="Times New Roman" w:hAnsi="Times New Roman" w:cs="Times New Roman"/>
          <w:b/>
          <w:sz w:val="24"/>
          <w:szCs w:val="24"/>
        </w:rPr>
        <w:t xml:space="preserve">das </w:t>
      </w:r>
      <w:r w:rsidR="00E84E5E" w:rsidRPr="0006635D">
        <w:rPr>
          <w:rFonts w:ascii="Times New Roman" w:eastAsia="Times New Roman" w:hAnsi="Times New Roman" w:cs="Times New Roman"/>
          <w:b/>
          <w:sz w:val="24"/>
          <w:szCs w:val="24"/>
        </w:rPr>
        <w:t>APNP</w:t>
      </w:r>
      <w:r w:rsidR="00066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065">
        <w:rPr>
          <w:rFonts w:ascii="Times New Roman" w:eastAsia="Times New Roman" w:hAnsi="Times New Roman" w:cs="Times New Roman"/>
          <w:b/>
          <w:sz w:val="24"/>
          <w:szCs w:val="24"/>
        </w:rPr>
        <w:t>até 23/12/2020</w:t>
      </w:r>
    </w:p>
    <w:tbl>
      <w:tblPr>
        <w:tblW w:w="10206" w:type="dxa"/>
        <w:tblInd w:w="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701"/>
        <w:gridCol w:w="1701"/>
        <w:gridCol w:w="1701"/>
        <w:gridCol w:w="1701"/>
        <w:gridCol w:w="1560"/>
        <w:gridCol w:w="1842"/>
      </w:tblGrid>
      <w:tr w:rsidR="003D2065" w:rsidRPr="008A694B" w:rsidTr="003D2065">
        <w:trPr>
          <w:trHeight w:val="58"/>
        </w:trPr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8A694B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8A694B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8A694B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8A694B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8A694B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8A694B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Sexta</w:t>
            </w:r>
          </w:p>
        </w:tc>
      </w:tr>
      <w:tr w:rsidR="003D2065" w:rsidRPr="00894C4E" w:rsidTr="003D2065">
        <w:trPr>
          <w:trHeight w:val="630"/>
        </w:trPr>
        <w:tc>
          <w:tcPr>
            <w:tcW w:w="1701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1º ADM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(Semanas 1 a 13)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8h30min e 14h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Geografia I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(Prof. </w:t>
            </w: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Eduardo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Iniciação Acadêmica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(Profa. 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Matemática I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(Profa. </w:t>
            </w: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Adriana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Física I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(Prof. Ismael)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Métodos e Técnicas Mercadológicas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(Prof. </w:t>
            </w: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Rodrigo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2065" w:rsidRPr="00894C4E" w:rsidTr="003D2065">
        <w:trPr>
          <w:trHeight w:val="570"/>
        </w:trPr>
        <w:tc>
          <w:tcPr>
            <w:tcW w:w="1701" w:type="dxa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1º ADM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Semanas 5 a 13)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 e 15h30min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Inglês I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(Profa. </w:t>
            </w: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Melissa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Informática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(Prof. </w:t>
            </w: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João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2065" w:rsidRPr="00894C4E" w:rsidTr="003D2065">
        <w:trPr>
          <w:trHeight w:val="667"/>
        </w:trPr>
        <w:tc>
          <w:tcPr>
            <w:tcW w:w="1701" w:type="dxa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2º ADM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(Semanas 1 a 13)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8h30min e 14h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 II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</w:t>
            </w: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Wemerson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Sociologia II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(Prof. </w:t>
            </w: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Amilcar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Português II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(Profa. </w:t>
            </w: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Educ. Física II</w:t>
            </w:r>
          </w:p>
          <w:p w:rsidR="003D2065" w:rsidRPr="003D2065" w:rsidRDefault="003D2065" w:rsidP="003D206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(Prof. </w:t>
            </w:r>
            <w:proofErr w:type="spellStart"/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Informática Aplicada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(Prof. </w:t>
            </w: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D2065" w:rsidRPr="00894C4E" w:rsidTr="003D2065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2º ADM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(Semanas 5 a 13)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 e 15h30min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(Profa. </w:t>
            </w: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Filosofia II</w:t>
            </w:r>
          </w:p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(Profa. </w:t>
            </w:r>
            <w:r w:rsidRPr="003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065" w:rsidRPr="003D2065" w:rsidRDefault="003D2065" w:rsidP="0047471F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D2065" w:rsidRPr="005107DC" w:rsidRDefault="003D2065" w:rsidP="003D2065">
      <w:pPr>
        <w:tabs>
          <w:tab w:val="left" w:pos="851"/>
          <w:tab w:val="left" w:pos="993"/>
        </w:tabs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Observação: A oferta dos componentes curriculares será a mesma para os turnos da manhã e tarde.</w:t>
      </w:r>
    </w:p>
    <w:p w:rsidR="00E86AD0" w:rsidRDefault="00E86AD0">
      <w:pPr>
        <w:pStyle w:val="Normal2"/>
        <w:tabs>
          <w:tab w:val="left" w:pos="851"/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007C3" w:rsidRDefault="00E84E5E">
      <w:pPr>
        <w:pStyle w:val="Normal2"/>
        <w:tabs>
          <w:tab w:val="left" w:pos="851"/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Plano de ensino adaptado para APNP</w:t>
      </w:r>
    </w:p>
    <w:p w:rsidR="00BF5F31" w:rsidRPr="00BF5F31" w:rsidRDefault="00BF5F31" w:rsidP="00BF5F31">
      <w:pPr>
        <w:spacing w:line="276" w:lineRule="auto"/>
        <w:ind w:left="0" w:hanging="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 DE ENSINO</w:t>
      </w:r>
    </w:p>
    <w:p w:rsidR="00BF5F31" w:rsidRPr="00BF5F31" w:rsidRDefault="00BF5F31" w:rsidP="00BF5F31">
      <w:pPr>
        <w:spacing w:line="276" w:lineRule="auto"/>
        <w:ind w:left="0" w:hanging="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Professor</w:t>
      </w:r>
      <w:r w:rsidR="006B3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(a)</w:t>
      </w: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F5F31" w:rsidRPr="00BF5F31" w:rsidRDefault="00BF5F31" w:rsidP="00BF5F31">
      <w:pPr>
        <w:spacing w:line="276" w:lineRule="auto"/>
        <w:ind w:left="0" w:hanging="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Curso: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5"/>
        <w:gridCol w:w="4678"/>
      </w:tblGrid>
      <w:tr w:rsidR="00BF5F31" w:rsidRPr="00BF5F31" w:rsidTr="00BF5F31">
        <w:tc>
          <w:tcPr>
            <w:tcW w:w="9923" w:type="dxa"/>
            <w:gridSpan w:val="2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jc w:val="left"/>
              <w:rPr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  <w:lang w:eastAsia="en-US"/>
              </w:rPr>
              <w:t>DISCIPLINA:</w:t>
            </w:r>
            <w:r w:rsidRPr="00BF5F31">
              <w:rPr>
                <w:color w:val="000000" w:themeColor="text1"/>
                <w:szCs w:val="24"/>
                <w:lang w:eastAsia="en-US"/>
              </w:rPr>
              <w:t xml:space="preserve"> </w:t>
            </w:r>
          </w:p>
        </w:tc>
      </w:tr>
      <w:tr w:rsidR="00BF5F31" w:rsidRPr="00BF5F31" w:rsidTr="00BF5F31">
        <w:tc>
          <w:tcPr>
            <w:tcW w:w="5245" w:type="dxa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rPr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  <w:lang w:eastAsia="en-US"/>
              </w:rPr>
              <w:t xml:space="preserve">Vigência: </w:t>
            </w:r>
            <w:r w:rsidRPr="00BF5F31">
              <w:rPr>
                <w:color w:val="000000" w:themeColor="text1"/>
                <w:szCs w:val="24"/>
                <w:lang w:eastAsia="en-US"/>
              </w:rPr>
              <w:t>a partir de [ano]/[semestre]</w:t>
            </w:r>
          </w:p>
        </w:tc>
        <w:tc>
          <w:tcPr>
            <w:tcW w:w="4678" w:type="dxa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rPr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  <w:lang w:eastAsia="en-US"/>
              </w:rPr>
              <w:t>Período letivo:</w:t>
            </w:r>
            <w:r w:rsidRPr="00BF5F31">
              <w:rPr>
                <w:color w:val="000000" w:themeColor="text1"/>
                <w:szCs w:val="24"/>
                <w:lang w:eastAsia="en-US"/>
              </w:rPr>
              <w:t xml:space="preserve"> </w:t>
            </w:r>
          </w:p>
        </w:tc>
      </w:tr>
      <w:tr w:rsidR="00BF5F31" w:rsidRPr="00BF5F31" w:rsidTr="00BF5F31">
        <w:tc>
          <w:tcPr>
            <w:tcW w:w="5245" w:type="dxa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  <w:lang w:eastAsia="en-US"/>
              </w:rPr>
              <w:t xml:space="preserve">Carga horária total: </w:t>
            </w:r>
          </w:p>
        </w:tc>
        <w:tc>
          <w:tcPr>
            <w:tcW w:w="4678" w:type="dxa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</w:rPr>
              <w:t>Código:</w:t>
            </w:r>
          </w:p>
        </w:tc>
      </w:tr>
      <w:tr w:rsidR="00BF5F31" w:rsidRPr="00BF5F31" w:rsidTr="00BF5F31">
        <w:tc>
          <w:tcPr>
            <w:tcW w:w="9923" w:type="dxa"/>
            <w:gridSpan w:val="2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</w:rPr>
              <w:t>Carga horária de atividades não presenciais:</w:t>
            </w:r>
          </w:p>
        </w:tc>
      </w:tr>
      <w:tr w:rsidR="00BF5F31" w:rsidRPr="00BF5F31" w:rsidTr="00BF5F31">
        <w:tc>
          <w:tcPr>
            <w:tcW w:w="9923" w:type="dxa"/>
            <w:gridSpan w:val="2"/>
            <w:shd w:val="clear" w:color="auto" w:fill="auto"/>
          </w:tcPr>
          <w:p w:rsidR="00BF5F31" w:rsidRPr="00BF5F31" w:rsidRDefault="00BF5F31" w:rsidP="00DD702A">
            <w:pPr>
              <w:pStyle w:val="Corpodetexto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BF5F31">
              <w:rPr>
                <w:b/>
                <w:color w:val="000000" w:themeColor="text1"/>
                <w:szCs w:val="24"/>
              </w:rPr>
              <w:t xml:space="preserve">Carga horária de atividades presenciais: </w:t>
            </w:r>
          </w:p>
        </w:tc>
      </w:tr>
      <w:tr w:rsidR="00BF5F31" w:rsidRPr="00BF5F31" w:rsidTr="00BF5F31">
        <w:tc>
          <w:tcPr>
            <w:tcW w:w="9923" w:type="dxa"/>
            <w:gridSpan w:val="2"/>
            <w:shd w:val="clear" w:color="auto" w:fill="auto"/>
          </w:tcPr>
          <w:p w:rsidR="00BF5F31" w:rsidRPr="00BF5F31" w:rsidRDefault="00BF5F31" w:rsidP="00BF5F31">
            <w:pPr>
              <w:pStyle w:val="PargrafodaLista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Ementa </w:t>
            </w:r>
            <w:r w:rsidRPr="00BF5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</w:t>
            </w:r>
            <w:r w:rsidRPr="00BF5F31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e acordo com o programa da disciplina) </w:t>
            </w:r>
          </w:p>
        </w:tc>
      </w:tr>
    </w:tbl>
    <w:p w:rsidR="00BF5F31" w:rsidRPr="00BF5F31" w:rsidRDefault="00BF5F31" w:rsidP="00BF5F31">
      <w:pPr>
        <w:pStyle w:val="Corpodetexto"/>
        <w:spacing w:line="276" w:lineRule="auto"/>
        <w:rPr>
          <w:b/>
          <w:color w:val="000000" w:themeColor="text1"/>
          <w:szCs w:val="24"/>
        </w:rPr>
      </w:pPr>
    </w:p>
    <w:p w:rsidR="00BF5F31" w:rsidRPr="00BF5F31" w:rsidRDefault="00BF5F31" w:rsidP="00BF5F31">
      <w:pPr>
        <w:pStyle w:val="Corpodetexto"/>
        <w:spacing w:line="276" w:lineRule="auto"/>
        <w:rPr>
          <w:color w:val="000000" w:themeColor="text1"/>
          <w:szCs w:val="24"/>
        </w:rPr>
      </w:pPr>
      <w:r w:rsidRPr="00BF5F31">
        <w:rPr>
          <w:b/>
          <w:color w:val="000000" w:themeColor="text1"/>
          <w:szCs w:val="24"/>
        </w:rPr>
        <w:t xml:space="preserve">Objetivo Geral </w:t>
      </w:r>
      <w:r w:rsidRPr="00BF5F31">
        <w:rPr>
          <w:color w:val="000000" w:themeColor="text1"/>
          <w:szCs w:val="24"/>
        </w:rPr>
        <w:t>(Refletir o propósito de aprendizagem, dentro do contexto geral da disciplina e do curso, levando em conta a ementa prevista)</w:t>
      </w:r>
    </w:p>
    <w:p w:rsidR="00BF5F31" w:rsidRPr="00BF5F31" w:rsidRDefault="00BF5F31" w:rsidP="00BF5F31">
      <w:pPr>
        <w:pStyle w:val="Corpodetexto"/>
        <w:spacing w:line="276" w:lineRule="auto"/>
        <w:rPr>
          <w:b/>
          <w:color w:val="000000" w:themeColor="text1"/>
          <w:szCs w:val="24"/>
        </w:rPr>
      </w:pPr>
    </w:p>
    <w:p w:rsidR="00BF5F31" w:rsidRPr="00BF5F31" w:rsidRDefault="00BF5F31" w:rsidP="00BF5F31">
      <w:pPr>
        <w:pStyle w:val="Corpodetexto"/>
        <w:spacing w:line="276" w:lineRule="auto"/>
        <w:rPr>
          <w:color w:val="000000" w:themeColor="text1"/>
          <w:szCs w:val="24"/>
        </w:rPr>
      </w:pPr>
      <w:r w:rsidRPr="00BF5F31">
        <w:rPr>
          <w:b/>
          <w:color w:val="000000" w:themeColor="text1"/>
          <w:szCs w:val="24"/>
        </w:rPr>
        <w:lastRenderedPageBreak/>
        <w:t xml:space="preserve">Objetivos Específicos </w:t>
      </w:r>
      <w:r w:rsidRPr="00BF5F31">
        <w:rPr>
          <w:color w:val="000000" w:themeColor="text1"/>
          <w:szCs w:val="24"/>
        </w:rPr>
        <w:t>(Refletir metas de aprendizagens específicas que satisfazem as necessidades educacionais para o alcance do objetivo geral)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Cronograma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229"/>
        <w:gridCol w:w="1843"/>
      </w:tblGrid>
      <w:tr w:rsidR="00BF5F31" w:rsidRPr="00BF5F31" w:rsidTr="0006635D">
        <w:tc>
          <w:tcPr>
            <w:tcW w:w="959" w:type="dxa"/>
            <w:vAlign w:val="center"/>
          </w:tcPr>
          <w:p w:rsidR="00BF5F31" w:rsidRPr="00BF5F31" w:rsidRDefault="00BF5F31" w:rsidP="00DD702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7229" w:type="dxa"/>
            <w:vAlign w:val="center"/>
          </w:tcPr>
          <w:p w:rsidR="00BF5F31" w:rsidRPr="00BF5F31" w:rsidRDefault="00BF5F31" w:rsidP="00DD702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Atividades desenvolvidas e instrumentos avaliativos </w:t>
            </w:r>
          </w:p>
        </w:tc>
        <w:tc>
          <w:tcPr>
            <w:tcW w:w="1843" w:type="dxa"/>
          </w:tcPr>
          <w:p w:rsidR="00BF5F31" w:rsidRPr="00BF5F31" w:rsidRDefault="00BF5F31" w:rsidP="00DD702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Aula/Semana/ Carga horária</w:t>
            </w:r>
          </w:p>
        </w:tc>
      </w:tr>
      <w:tr w:rsidR="00BF5F31" w:rsidRPr="00BF5F31" w:rsidTr="0006635D">
        <w:tc>
          <w:tcPr>
            <w:tcW w:w="959" w:type="dxa"/>
            <w:vAlign w:val="center"/>
          </w:tcPr>
          <w:p w:rsidR="00BF5F31" w:rsidRPr="0006635D" w:rsidRDefault="00BF5F31" w:rsidP="00BF5F31">
            <w:pPr>
              <w:spacing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F5F31" w:rsidRPr="00BF5F31" w:rsidRDefault="00BF5F31" w:rsidP="00BF5F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F31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Citar os conteúdos de acordo com o programa da disciplina e as principais atividades síncronas e assíncronas que serão desenvolvidas, considerando-se a excepcionalidade do momento (APNP/ensino presencial). Também </w:t>
            </w:r>
            <w:r w:rsidRPr="00BF5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descrever os instrumentos avaliativos, observando-se a necessidade de realizar, no mínimo, dois instrumentos por etapa, podendo-se considerar o que já foi realizado.</w:t>
            </w:r>
          </w:p>
        </w:tc>
        <w:tc>
          <w:tcPr>
            <w:tcW w:w="1843" w:type="dxa"/>
          </w:tcPr>
          <w:p w:rsidR="00BF5F31" w:rsidRPr="00BF5F31" w:rsidRDefault="00BF5F31" w:rsidP="00BF5F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31" w:rsidRPr="00BF5F31" w:rsidTr="0006635D">
        <w:tc>
          <w:tcPr>
            <w:tcW w:w="959" w:type="dxa"/>
            <w:vAlign w:val="center"/>
          </w:tcPr>
          <w:p w:rsidR="00BF5F31" w:rsidRPr="0006635D" w:rsidRDefault="00BF5F31" w:rsidP="00BF5F31">
            <w:pPr>
              <w:spacing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F5F31" w:rsidRPr="00BF5F31" w:rsidRDefault="00BF5F31" w:rsidP="00BF5F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31" w:rsidRPr="00BF5F31" w:rsidRDefault="00BF5F31" w:rsidP="00BF5F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31" w:rsidRPr="00BF5F31" w:rsidTr="0006635D">
        <w:tc>
          <w:tcPr>
            <w:tcW w:w="959" w:type="dxa"/>
            <w:vAlign w:val="center"/>
          </w:tcPr>
          <w:p w:rsidR="00BF5F31" w:rsidRPr="0006635D" w:rsidRDefault="00BF5F31" w:rsidP="00BF5F31">
            <w:pPr>
              <w:spacing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F5F31" w:rsidRPr="00BF5F31" w:rsidRDefault="00BF5F31" w:rsidP="00BF5F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31" w:rsidRPr="00BF5F31" w:rsidRDefault="00BF5F31" w:rsidP="00BF5F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Desenvolvimento metodológico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Presencial: 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</w:rPr>
        <w:t>Sugestão de manter o que está no plano de ensino inicial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APNP: </w:t>
      </w:r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bidi="hi-IN"/>
        </w:rPr>
        <w:t>Descrever atividades síncronas e assíncronas, especificando, de forma geral, o tempo de duração semanal dessas atividades, observando-se que os momentos síncronos devem acontecer no turno normal de aula da turma. Nessa descrição, considerar estratégias e ferramentas de ensino, tais como:</w:t>
      </w:r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  <w:lang w:bidi="hi-IN"/>
        </w:rPr>
        <w:t xml:space="preserve"> transmissões ao vivo, jogos virtuais, atividades interdisciplinares, atividades de aprendizagem colaborativa, vídeos, filmes, documentários, </w:t>
      </w:r>
      <w:proofErr w:type="spellStart"/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  <w:lang w:bidi="hi-IN"/>
        </w:rPr>
        <w:t>podcasts</w:t>
      </w:r>
      <w:proofErr w:type="spellEnd"/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proofErr w:type="spellStart"/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  <w:lang w:bidi="hi-IN"/>
        </w:rPr>
        <w:t>quizzes</w:t>
      </w:r>
      <w:proofErr w:type="spellEnd"/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bidi="hi-IN"/>
        </w:rPr>
        <w:t xml:space="preserve">, leituras, resolução de exercícios, questionários, elaboração de textos, pesquisas, resenhas, estudo dirigido. 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Atendimento semanal remoto aos estudantes: </w:t>
      </w:r>
      <w:r w:rsidRPr="00BF5F3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Indicar a forma de atendimento semanal aos estudantes (rede social, fórum, chat, entre outros), com definição, se possível, de dia(s) e horário(s) específico(s). 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Metodologia de avaliação 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Presencial: 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</w:rPr>
        <w:t>Sugestão de manter o que está no plano de ensino inicial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APNP: 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</w:rPr>
        <w:t>Levar em consideração a OD, ou seja, r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ealizar, no mínimo, dois instrumentos avaliativos por etapa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</w:rPr>
        <w:t>, observando o contexto e as diretrizes para o ensino remoto. Também deixar explícito de que forma irá se dar a recuperação paralela, promovendo a permanência e êxito dos estudantes.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Metodologia de reavaliação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Presencial: 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</w:rPr>
        <w:t>Sugestão de manter o que está no plano de ensino inicial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APNP: </w:t>
      </w:r>
      <w:r w:rsidRPr="00B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Levar em consideração a OD, contudo observar o contexto e as diretrizes para o ensino remoto. </w:t>
      </w:r>
    </w:p>
    <w:p w:rsidR="00BF5F31" w:rsidRPr="00BF5F31" w:rsidRDefault="00BF5F31" w:rsidP="00BF5F31">
      <w:pPr>
        <w:spacing w:line="276" w:lineRule="auto"/>
        <w:ind w:left="0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F31" w:rsidRPr="00BF5F31" w:rsidRDefault="00BF5F31" w:rsidP="00BF5F31">
      <w:pPr>
        <w:pStyle w:val="Corpodetexto"/>
        <w:spacing w:line="276" w:lineRule="auto"/>
        <w:rPr>
          <w:color w:val="000000" w:themeColor="text1"/>
          <w:szCs w:val="24"/>
        </w:rPr>
      </w:pPr>
      <w:r w:rsidRPr="00BF5F31">
        <w:rPr>
          <w:b/>
          <w:color w:val="000000" w:themeColor="text1"/>
          <w:szCs w:val="24"/>
        </w:rPr>
        <w:t xml:space="preserve">Bibliografia básica </w:t>
      </w:r>
      <w:r w:rsidRPr="00BF5F31">
        <w:rPr>
          <w:color w:val="000000" w:themeColor="text1"/>
          <w:szCs w:val="24"/>
        </w:rPr>
        <w:t>(D</w:t>
      </w:r>
      <w:r w:rsidRPr="00BF5F31">
        <w:rPr>
          <w:color w:val="000000" w:themeColor="text1"/>
          <w:kern w:val="2"/>
          <w:szCs w:val="24"/>
        </w:rPr>
        <w:t>e acordo com o programa da disciplina)</w:t>
      </w:r>
    </w:p>
    <w:p w:rsidR="00BF5F31" w:rsidRPr="00BF5F31" w:rsidRDefault="00BF5F31" w:rsidP="00BF5F31">
      <w:pPr>
        <w:pStyle w:val="Corpodetexto"/>
        <w:spacing w:line="276" w:lineRule="auto"/>
        <w:rPr>
          <w:b/>
          <w:color w:val="000000" w:themeColor="text1"/>
          <w:szCs w:val="24"/>
        </w:rPr>
      </w:pPr>
    </w:p>
    <w:p w:rsidR="00BF5F31" w:rsidRPr="00BF5F31" w:rsidRDefault="00BF5F31" w:rsidP="00BF5F31">
      <w:pPr>
        <w:pStyle w:val="Corpodetexto"/>
        <w:spacing w:line="276" w:lineRule="auto"/>
        <w:ind w:hanging="2"/>
        <w:rPr>
          <w:color w:val="000000" w:themeColor="text1"/>
          <w:szCs w:val="24"/>
        </w:rPr>
      </w:pPr>
      <w:r w:rsidRPr="00BF5F31">
        <w:rPr>
          <w:b/>
          <w:color w:val="000000" w:themeColor="text1"/>
          <w:szCs w:val="24"/>
        </w:rPr>
        <w:t xml:space="preserve">Bibliografia complementar </w:t>
      </w:r>
      <w:r w:rsidRPr="00BF5F31">
        <w:rPr>
          <w:color w:val="000000" w:themeColor="text1"/>
          <w:szCs w:val="24"/>
        </w:rPr>
        <w:t>(D</w:t>
      </w:r>
      <w:r w:rsidRPr="00BF5F31">
        <w:rPr>
          <w:color w:val="000000" w:themeColor="text1"/>
          <w:kern w:val="2"/>
          <w:szCs w:val="24"/>
        </w:rPr>
        <w:t>e acordo com o programa da disciplina)</w:t>
      </w:r>
    </w:p>
    <w:p w:rsidR="00B007C3" w:rsidRDefault="00B007C3" w:rsidP="0006635D">
      <w:pPr>
        <w:pStyle w:val="Normal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Lajeado, 18</w:t>
      </w:r>
      <w:r w:rsidRPr="00ED3EAC">
        <w:rPr>
          <w:rFonts w:ascii="Times New Roman" w:hAnsi="Times New Roman"/>
          <w:sz w:val="24"/>
          <w:szCs w:val="24"/>
        </w:rPr>
        <w:t xml:space="preserve"> de setembro de 2020.</w:t>
      </w: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Evandro Fernandes</w:t>
      </w: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ED3EAC">
        <w:rPr>
          <w:rFonts w:ascii="Times New Roman" w:hAnsi="Times New Roman"/>
          <w:sz w:val="24"/>
          <w:szCs w:val="24"/>
        </w:rPr>
        <w:t>Coordenado</w:t>
      </w:r>
      <w:r>
        <w:rPr>
          <w:rFonts w:ascii="Times New Roman" w:hAnsi="Times New Roman"/>
          <w:sz w:val="24"/>
          <w:szCs w:val="24"/>
        </w:rPr>
        <w:t>r do Curso Técnico em Administração – Forma Integrada</w:t>
      </w: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D3EAC">
        <w:rPr>
          <w:rFonts w:ascii="Times New Roman" w:hAnsi="Times New Roman"/>
          <w:sz w:val="24"/>
          <w:szCs w:val="24"/>
        </w:rPr>
        <w:t>Malcus</w:t>
      </w:r>
      <w:proofErr w:type="spellEnd"/>
      <w:r w:rsidRPr="00ED3EAC">
        <w:rPr>
          <w:rFonts w:ascii="Times New Roman" w:hAnsi="Times New Roman"/>
          <w:sz w:val="24"/>
          <w:szCs w:val="24"/>
        </w:rPr>
        <w:t xml:space="preserve"> Cassiano Kuhn</w:t>
      </w:r>
    </w:p>
    <w:p w:rsidR="003D2065" w:rsidRPr="00ED3EAC" w:rsidRDefault="003D2065" w:rsidP="003D2065">
      <w:pPr>
        <w:pStyle w:val="PargrafodaLista"/>
        <w:spacing w:line="276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ED3EAC">
        <w:rPr>
          <w:rFonts w:ascii="Times New Roman" w:hAnsi="Times New Roman"/>
          <w:sz w:val="24"/>
          <w:szCs w:val="24"/>
        </w:rPr>
        <w:t xml:space="preserve">Chefe do Departamento de Ensino, Pesquisa e Extensão do </w:t>
      </w:r>
      <w:proofErr w:type="spellStart"/>
      <w:r w:rsidRPr="00ED3EAC">
        <w:rPr>
          <w:rFonts w:ascii="Times New Roman" w:hAnsi="Times New Roman"/>
          <w:sz w:val="24"/>
          <w:szCs w:val="24"/>
        </w:rPr>
        <w:t>Câmpus</w:t>
      </w:r>
      <w:proofErr w:type="spellEnd"/>
      <w:r w:rsidRPr="00ED3EAC">
        <w:rPr>
          <w:rFonts w:ascii="Times New Roman" w:hAnsi="Times New Roman"/>
          <w:sz w:val="24"/>
          <w:szCs w:val="24"/>
        </w:rPr>
        <w:t xml:space="preserve"> Lajeado</w:t>
      </w:r>
    </w:p>
    <w:p w:rsidR="003D2065" w:rsidRDefault="003D2065" w:rsidP="0006635D">
      <w:pPr>
        <w:pStyle w:val="Normal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D2065" w:rsidSect="00736F8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B4" w:rsidRDefault="001668B4" w:rsidP="00450686">
      <w:pPr>
        <w:spacing w:line="240" w:lineRule="auto"/>
        <w:ind w:left="0" w:hanging="2"/>
      </w:pPr>
      <w:r>
        <w:separator/>
      </w:r>
    </w:p>
  </w:endnote>
  <w:endnote w:type="continuationSeparator" w:id="0">
    <w:p w:rsidR="001668B4" w:rsidRDefault="001668B4" w:rsidP="004506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C3" w:rsidRDefault="00E84E5E">
    <w:pPr>
      <w:pStyle w:val="Normal2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Lajeado</w:t>
    </w:r>
  </w:p>
  <w:p w:rsidR="00B007C3" w:rsidRDefault="00E84E5E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B4" w:rsidRDefault="001668B4" w:rsidP="00450686">
      <w:pPr>
        <w:spacing w:line="240" w:lineRule="auto"/>
        <w:ind w:left="0" w:hanging="2"/>
      </w:pPr>
      <w:r>
        <w:separator/>
      </w:r>
    </w:p>
  </w:footnote>
  <w:footnote w:type="continuationSeparator" w:id="0">
    <w:p w:rsidR="001668B4" w:rsidRDefault="001668B4" w:rsidP="004506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C3" w:rsidRDefault="00E84E5E">
    <w:pPr>
      <w:pStyle w:val="Normal2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993265" cy="58610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9AA"/>
    <w:multiLevelType w:val="multilevel"/>
    <w:tmpl w:val="3282FF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C670928"/>
    <w:multiLevelType w:val="multilevel"/>
    <w:tmpl w:val="A1C200E2"/>
    <w:lvl w:ilvl="0">
      <w:start w:val="5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C3"/>
    <w:rsid w:val="000139C5"/>
    <w:rsid w:val="0006635D"/>
    <w:rsid w:val="000C50C2"/>
    <w:rsid w:val="0010684D"/>
    <w:rsid w:val="00150AFB"/>
    <w:rsid w:val="001668B4"/>
    <w:rsid w:val="001B19A6"/>
    <w:rsid w:val="001F564F"/>
    <w:rsid w:val="00293E6C"/>
    <w:rsid w:val="00320C25"/>
    <w:rsid w:val="003D2065"/>
    <w:rsid w:val="00450686"/>
    <w:rsid w:val="00463DD6"/>
    <w:rsid w:val="004F455D"/>
    <w:rsid w:val="004F5881"/>
    <w:rsid w:val="006B3BF9"/>
    <w:rsid w:val="00733777"/>
    <w:rsid w:val="00736F86"/>
    <w:rsid w:val="00970D8F"/>
    <w:rsid w:val="00AA4FD7"/>
    <w:rsid w:val="00B007C3"/>
    <w:rsid w:val="00BF5F31"/>
    <w:rsid w:val="00D93CC3"/>
    <w:rsid w:val="00DA3902"/>
    <w:rsid w:val="00DD527C"/>
    <w:rsid w:val="00DE7077"/>
    <w:rsid w:val="00E40523"/>
    <w:rsid w:val="00E84E5E"/>
    <w:rsid w:val="00E8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rsid w:val="00B007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2"/>
    <w:next w:val="Normal2"/>
    <w:rsid w:val="00B007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B007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B007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B007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B007C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B007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007C3"/>
  </w:style>
  <w:style w:type="table" w:customStyle="1" w:styleId="TableNormal">
    <w:name w:val="Table Normal"/>
    <w:rsid w:val="00B007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B007C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B007C3"/>
  </w:style>
  <w:style w:type="table" w:customStyle="1" w:styleId="TableNormal0">
    <w:name w:val="Table Normal"/>
    <w:rsid w:val="00B007C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B007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rsid w:val="00B007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B007C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qFormat/>
    <w:rsid w:val="00B007C3"/>
    <w:pPr>
      <w:ind w:left="720"/>
      <w:contextualSpacing/>
    </w:pPr>
  </w:style>
  <w:style w:type="character" w:customStyle="1" w:styleId="Hiperlink">
    <w:name w:val="Hiperlink"/>
    <w:qFormat/>
    <w:rsid w:val="00B007C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B007C3"/>
  </w:style>
  <w:style w:type="character" w:customStyle="1" w:styleId="CabealhoChar">
    <w:name w:val="Cabeçalho Char"/>
    <w:basedOn w:val="Fontepargpadro"/>
    <w:rsid w:val="00B007C3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B007C3"/>
  </w:style>
  <w:style w:type="character" w:customStyle="1" w:styleId="RodapChar">
    <w:name w:val="Rodapé Char"/>
    <w:basedOn w:val="Fontepargpadro"/>
    <w:rsid w:val="00B007C3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B007C3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3">
    <w:name w:val="Normal3"/>
    <w:rsid w:val="00B007C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styleId="Refdecomentrio">
    <w:name w:val="annotation reference"/>
    <w:uiPriority w:val="99"/>
    <w:semiHidden/>
    <w:unhideWhenUsed/>
    <w:rsid w:val="00B007C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007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B007C3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007C3"/>
    <w:rPr>
      <w:b/>
      <w:bCs/>
    </w:rPr>
  </w:style>
  <w:style w:type="character" w:customStyle="1" w:styleId="AssuntodocomentrioChar">
    <w:name w:val="Assunto do comentário Char"/>
    <w:rsid w:val="00B007C3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B007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007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007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007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B007C3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B007C3"/>
    <w:rPr>
      <w:sz w:val="20"/>
      <w:szCs w:val="20"/>
    </w:rPr>
  </w:style>
  <w:style w:type="table" w:customStyle="1" w:styleId="a2">
    <w:basedOn w:val="TableNormal0"/>
    <w:rsid w:val="00B007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B007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B007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F5F31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F5F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BF5F31"/>
    <w:pPr>
      <w:widowControl w:val="0"/>
      <w:suppressAutoHyphens/>
      <w:autoSpaceDN w:val="0"/>
      <w:spacing w:line="276" w:lineRule="auto"/>
      <w:jc w:val="left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DqA/V7thwbmDOCYENt7Joi0Sw==">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1744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/>
      <vt:lpstr>Observação: A oferta dos componentes curriculares será a mesma para os turnos da</vt:lpstr>
      <vt:lpstr>PLANO DE ENSINO</vt:lpstr>
      <vt:lpstr>Professor(a):</vt:lpstr>
      <vt:lpstr>Curso:</vt:lpstr>
      <vt:lpstr/>
      <vt:lpstr>Cronograma</vt:lpstr>
      <vt:lpstr/>
      <vt:lpstr>Desenvolvimento metodológico</vt:lpstr>
      <vt:lpstr>Presencial: Sugestão de manter o que está no plano de ensino inicial</vt:lpstr>
      <vt:lpstr>APNP: Descrever atividades síncronas e assíncronas, especificando, de forma gera</vt:lpstr>
      <vt:lpstr>Atendimento semanal remoto aos estudantes: Indicar a forma de atendimento semana</vt:lpstr>
      <vt:lpstr/>
      <vt:lpstr>Metodologia de avaliação </vt:lpstr>
      <vt:lpstr>Presencial: Sugestão de manter o que está no plano de ensino inicial</vt:lpstr>
      <vt:lpstr>APNP: Levar em consideração a OD, ou seja, realizar, no mínimo, dois instrumento</vt:lpstr>
      <vt:lpstr/>
      <vt:lpstr>Metodologia de reavaliação</vt:lpstr>
      <vt:lpstr>Presencial: Sugestão de manter o que está no plano de ensino inicial</vt:lpstr>
      <vt:lpstr>APNP: Levar em consideração a OD, contudo observar o contexto e as diretrizes pa</vt:lpstr>
      <vt:lpstr/>
      <vt:lpstr>Lajeado, 18 de setembro de 2020.</vt:lpstr>
      <vt:lpstr/>
      <vt:lpstr/>
      <vt:lpstr>Evandro Fernandes</vt:lpstr>
      <vt:lpstr>Coordenador do Curso Técnico em Administração – Forma Integrada</vt:lpstr>
      <vt:lpstr/>
      <vt:lpstr/>
      <vt:lpstr>Malcus Cassiano Kuhn</vt:lpstr>
      <vt:lpstr>Chefe do Departamento de Ensino, Pesquisa e Extensão do Câmpus Lajeado</vt:lpstr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Malcus Cassiano Kuhn</dc:creator>
  <cp:lastModifiedBy>Veridiana</cp:lastModifiedBy>
  <cp:revision>2</cp:revision>
  <dcterms:created xsi:type="dcterms:W3CDTF">2020-09-22T14:29:00Z</dcterms:created>
  <dcterms:modified xsi:type="dcterms:W3CDTF">2020-09-22T14:29:00Z</dcterms:modified>
</cp:coreProperties>
</file>